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D7172" w14:textId="77777777" w:rsidR="00C64B1B" w:rsidRDefault="00C64B1B" w:rsidP="00C64B1B">
      <w:pPr>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171"/>
        <w:gridCol w:w="1984"/>
        <w:gridCol w:w="2977"/>
        <w:gridCol w:w="1984"/>
        <w:gridCol w:w="3969"/>
        <w:gridCol w:w="2352"/>
      </w:tblGrid>
      <w:tr w:rsidR="004975E6" w:rsidRPr="0079530D" w14:paraId="0354F3B1" w14:textId="6E50A895" w:rsidTr="00D20649">
        <w:trPr>
          <w:trHeight w:val="300"/>
        </w:trPr>
        <w:tc>
          <w:tcPr>
            <w:tcW w:w="15393" w:type="dxa"/>
            <w:gridSpan w:val="7"/>
            <w:shd w:val="clear" w:color="auto" w:fill="auto"/>
            <w:vAlign w:val="center"/>
          </w:tcPr>
          <w:p w14:paraId="27603BD0" w14:textId="30C999D0" w:rsidR="004975E6" w:rsidRPr="0079530D" w:rsidRDefault="004975E6" w:rsidP="00F80F08">
            <w:pPr>
              <w:spacing w:before="120" w:after="120"/>
              <w:rPr>
                <w:rFonts w:asciiTheme="minorHAnsi" w:hAnsiTheme="minorHAnsi" w:cstheme="minorHAnsi"/>
                <w:b/>
                <w:iCs/>
                <w:sz w:val="22"/>
                <w:szCs w:val="22"/>
              </w:rPr>
            </w:pPr>
            <w:r w:rsidRPr="0079530D">
              <w:rPr>
                <w:rFonts w:asciiTheme="minorHAnsi" w:hAnsiTheme="minorHAnsi" w:cstheme="minorHAnsi"/>
                <w:b/>
                <w:iCs/>
                <w:sz w:val="22"/>
                <w:szCs w:val="22"/>
              </w:rPr>
              <w:t xml:space="preserve">Nazwa dokumentu: projekt ustawy o zmianie ustawy o informatyzacji działalności podmiotów realizujących zadania publiczne oraz niektórych innych ustaw </w:t>
            </w:r>
            <w:r>
              <w:rPr>
                <w:rFonts w:asciiTheme="minorHAnsi" w:hAnsiTheme="minorHAnsi" w:cstheme="minorHAnsi"/>
                <w:b/>
                <w:iCs/>
                <w:sz w:val="22"/>
                <w:szCs w:val="22"/>
              </w:rPr>
              <w:t>(UC44)</w:t>
            </w:r>
            <w:bookmarkStart w:id="0" w:name="_GoBack"/>
            <w:bookmarkEnd w:id="0"/>
          </w:p>
        </w:tc>
      </w:tr>
      <w:tr w:rsidR="004975E6" w:rsidRPr="0079530D" w14:paraId="55EF297F" w14:textId="31E372C1" w:rsidTr="0022019D">
        <w:trPr>
          <w:trHeight w:val="300"/>
        </w:trPr>
        <w:tc>
          <w:tcPr>
            <w:tcW w:w="956" w:type="dxa"/>
            <w:shd w:val="clear" w:color="auto" w:fill="auto"/>
            <w:vAlign w:val="center"/>
          </w:tcPr>
          <w:p w14:paraId="6D15844C" w14:textId="77777777" w:rsidR="004975E6" w:rsidRPr="0079530D" w:rsidRDefault="004975E6" w:rsidP="004D086F">
            <w:pPr>
              <w:jc w:val="center"/>
              <w:rPr>
                <w:rFonts w:asciiTheme="minorHAnsi" w:hAnsiTheme="minorHAnsi" w:cstheme="minorHAnsi"/>
                <w:b/>
                <w:sz w:val="22"/>
                <w:szCs w:val="22"/>
              </w:rPr>
            </w:pPr>
            <w:r w:rsidRPr="0079530D">
              <w:rPr>
                <w:rFonts w:asciiTheme="minorHAnsi" w:hAnsiTheme="minorHAnsi" w:cstheme="minorHAnsi"/>
                <w:b/>
                <w:sz w:val="22"/>
                <w:szCs w:val="22"/>
              </w:rPr>
              <w:t>Lp.</w:t>
            </w:r>
          </w:p>
        </w:tc>
        <w:tc>
          <w:tcPr>
            <w:tcW w:w="1171" w:type="dxa"/>
            <w:shd w:val="clear" w:color="auto" w:fill="auto"/>
            <w:vAlign w:val="center"/>
          </w:tcPr>
          <w:p w14:paraId="6D813DE3" w14:textId="77777777" w:rsidR="004975E6" w:rsidRPr="0079530D" w:rsidRDefault="004975E6" w:rsidP="004D086F">
            <w:pPr>
              <w:jc w:val="center"/>
              <w:rPr>
                <w:rFonts w:asciiTheme="minorHAnsi" w:hAnsiTheme="minorHAnsi" w:cstheme="minorHAnsi"/>
                <w:b/>
                <w:sz w:val="22"/>
                <w:szCs w:val="22"/>
              </w:rPr>
            </w:pPr>
            <w:r w:rsidRPr="0079530D">
              <w:rPr>
                <w:rFonts w:asciiTheme="minorHAnsi" w:hAnsiTheme="minorHAnsi" w:cstheme="minorHAnsi"/>
                <w:b/>
                <w:sz w:val="22"/>
                <w:szCs w:val="22"/>
              </w:rPr>
              <w:t>Organ wnoszący uwagi</w:t>
            </w:r>
          </w:p>
        </w:tc>
        <w:tc>
          <w:tcPr>
            <w:tcW w:w="1984" w:type="dxa"/>
            <w:shd w:val="clear" w:color="auto" w:fill="auto"/>
            <w:vAlign w:val="center"/>
          </w:tcPr>
          <w:p w14:paraId="12301BFD" w14:textId="77777777" w:rsidR="004975E6" w:rsidRPr="0079530D" w:rsidRDefault="004975E6" w:rsidP="000D2ED7">
            <w:pPr>
              <w:jc w:val="center"/>
              <w:rPr>
                <w:rFonts w:asciiTheme="minorHAnsi" w:hAnsiTheme="minorHAnsi" w:cstheme="minorHAnsi"/>
                <w:b/>
                <w:sz w:val="22"/>
                <w:szCs w:val="22"/>
              </w:rPr>
            </w:pPr>
            <w:r w:rsidRPr="0079530D">
              <w:rPr>
                <w:rFonts w:asciiTheme="minorHAnsi" w:hAnsiTheme="minorHAnsi" w:cstheme="minorHAnsi"/>
                <w:b/>
                <w:sz w:val="22"/>
                <w:szCs w:val="22"/>
              </w:rPr>
              <w:t>Jednostka redakcyjna, do której wnoszone są uwagi</w:t>
            </w:r>
          </w:p>
        </w:tc>
        <w:tc>
          <w:tcPr>
            <w:tcW w:w="2977" w:type="dxa"/>
            <w:shd w:val="clear" w:color="auto" w:fill="auto"/>
            <w:vAlign w:val="center"/>
          </w:tcPr>
          <w:p w14:paraId="5AAE6963" w14:textId="77777777" w:rsidR="004975E6" w:rsidRPr="0079530D" w:rsidRDefault="004975E6" w:rsidP="000D2ED7">
            <w:pPr>
              <w:jc w:val="center"/>
              <w:rPr>
                <w:rFonts w:asciiTheme="minorHAnsi" w:hAnsiTheme="minorHAnsi" w:cstheme="minorHAnsi"/>
                <w:b/>
                <w:sz w:val="22"/>
                <w:szCs w:val="22"/>
              </w:rPr>
            </w:pPr>
            <w:r w:rsidRPr="0079530D">
              <w:rPr>
                <w:rFonts w:asciiTheme="minorHAnsi" w:hAnsiTheme="minorHAnsi" w:cstheme="minorHAnsi"/>
                <w:b/>
                <w:sz w:val="22"/>
                <w:szCs w:val="22"/>
              </w:rPr>
              <w:t>Treść uwagi</w:t>
            </w:r>
          </w:p>
        </w:tc>
        <w:tc>
          <w:tcPr>
            <w:tcW w:w="1984" w:type="dxa"/>
            <w:shd w:val="clear" w:color="auto" w:fill="auto"/>
            <w:vAlign w:val="center"/>
          </w:tcPr>
          <w:p w14:paraId="700DE8CF" w14:textId="77777777" w:rsidR="004975E6" w:rsidRPr="0079530D" w:rsidRDefault="004975E6" w:rsidP="000D2ED7">
            <w:pPr>
              <w:jc w:val="center"/>
              <w:rPr>
                <w:rFonts w:asciiTheme="minorHAnsi" w:hAnsiTheme="minorHAnsi" w:cstheme="minorHAnsi"/>
                <w:b/>
                <w:sz w:val="22"/>
                <w:szCs w:val="22"/>
              </w:rPr>
            </w:pPr>
            <w:r w:rsidRPr="0079530D">
              <w:rPr>
                <w:rFonts w:asciiTheme="minorHAnsi" w:hAnsiTheme="minorHAnsi" w:cstheme="minorHAnsi"/>
                <w:b/>
                <w:sz w:val="22"/>
                <w:szCs w:val="22"/>
              </w:rPr>
              <w:t>Propozycja zmian zapisu</w:t>
            </w:r>
          </w:p>
        </w:tc>
        <w:tc>
          <w:tcPr>
            <w:tcW w:w="3969" w:type="dxa"/>
            <w:vAlign w:val="center"/>
          </w:tcPr>
          <w:p w14:paraId="60A931FA" w14:textId="59B4EEF4" w:rsidR="004975E6" w:rsidRPr="0079530D" w:rsidRDefault="004975E6" w:rsidP="000D2ED7">
            <w:pPr>
              <w:jc w:val="center"/>
              <w:rPr>
                <w:rFonts w:asciiTheme="minorHAnsi" w:hAnsiTheme="minorHAnsi" w:cstheme="minorHAnsi"/>
                <w:b/>
                <w:sz w:val="22"/>
                <w:szCs w:val="22"/>
              </w:rPr>
            </w:pPr>
            <w:r w:rsidRPr="0079530D">
              <w:rPr>
                <w:rFonts w:asciiTheme="minorHAnsi" w:hAnsiTheme="minorHAnsi" w:cstheme="minorHAnsi"/>
                <w:b/>
                <w:sz w:val="22"/>
                <w:szCs w:val="22"/>
              </w:rPr>
              <w:t>Odniesienie</w:t>
            </w:r>
            <w:r>
              <w:rPr>
                <w:rFonts w:asciiTheme="minorHAnsi" w:hAnsiTheme="minorHAnsi" w:cstheme="minorHAnsi"/>
                <w:b/>
                <w:sz w:val="22"/>
                <w:szCs w:val="22"/>
              </w:rPr>
              <w:t xml:space="preserve"> MC</w:t>
            </w:r>
            <w:r w:rsidRPr="0079530D">
              <w:rPr>
                <w:rFonts w:asciiTheme="minorHAnsi" w:hAnsiTheme="minorHAnsi" w:cstheme="minorHAnsi"/>
                <w:b/>
                <w:sz w:val="22"/>
                <w:szCs w:val="22"/>
              </w:rPr>
              <w:t xml:space="preserve"> do uwagi</w:t>
            </w:r>
          </w:p>
        </w:tc>
        <w:tc>
          <w:tcPr>
            <w:tcW w:w="2352" w:type="dxa"/>
            <w:vAlign w:val="center"/>
          </w:tcPr>
          <w:p w14:paraId="7DB627EE" w14:textId="0791F93E" w:rsidR="004975E6" w:rsidRPr="0079530D" w:rsidRDefault="004975E6" w:rsidP="004975E6">
            <w:pPr>
              <w:jc w:val="center"/>
              <w:rPr>
                <w:rFonts w:asciiTheme="minorHAnsi" w:hAnsiTheme="minorHAnsi" w:cstheme="minorHAnsi"/>
                <w:b/>
                <w:sz w:val="22"/>
                <w:szCs w:val="22"/>
              </w:rPr>
            </w:pPr>
            <w:r>
              <w:rPr>
                <w:rFonts w:asciiTheme="minorHAnsi" w:hAnsiTheme="minorHAnsi" w:cstheme="minorHAnsi"/>
                <w:b/>
                <w:sz w:val="22"/>
                <w:szCs w:val="22"/>
              </w:rPr>
              <w:t>Stanowisko autora uwagi do odniesienia MC</w:t>
            </w:r>
          </w:p>
        </w:tc>
      </w:tr>
      <w:tr w:rsidR="004975E6" w:rsidRPr="0079530D" w14:paraId="094C359C" w14:textId="3D6ECA6F" w:rsidTr="0022019D">
        <w:trPr>
          <w:trHeight w:val="4243"/>
        </w:trPr>
        <w:tc>
          <w:tcPr>
            <w:tcW w:w="956" w:type="dxa"/>
            <w:shd w:val="clear" w:color="auto" w:fill="auto"/>
          </w:tcPr>
          <w:p w14:paraId="0DBC7007" w14:textId="1F8278B8"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t>18.</w:t>
            </w:r>
          </w:p>
        </w:tc>
        <w:tc>
          <w:tcPr>
            <w:tcW w:w="1171" w:type="dxa"/>
            <w:shd w:val="clear" w:color="auto" w:fill="auto"/>
          </w:tcPr>
          <w:p w14:paraId="00B6F4FC" w14:textId="77777777" w:rsidR="004975E6" w:rsidRPr="00041D6F" w:rsidRDefault="004975E6" w:rsidP="00CE4077">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112270D9" w14:textId="3E701C72" w:rsidR="004975E6" w:rsidRPr="0079530D" w:rsidRDefault="004975E6" w:rsidP="00CE4077">
            <w:pPr>
              <w:jc w:val="center"/>
              <w:rPr>
                <w:rFonts w:asciiTheme="minorHAnsi" w:hAnsiTheme="minorHAnsi" w:cstheme="minorHAnsi"/>
                <w:b/>
                <w:sz w:val="22"/>
                <w:szCs w:val="22"/>
              </w:rPr>
            </w:pPr>
          </w:p>
        </w:tc>
        <w:tc>
          <w:tcPr>
            <w:tcW w:w="1984" w:type="dxa"/>
            <w:shd w:val="clear" w:color="auto" w:fill="auto"/>
          </w:tcPr>
          <w:p w14:paraId="70184303"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1 pkt 11 lit. e</w:t>
            </w:r>
          </w:p>
          <w:p w14:paraId="6DCFCE09"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13 ust. 5 ustawy zmienianej)</w:t>
            </w:r>
          </w:p>
          <w:p w14:paraId="714FE010" w14:textId="77777777" w:rsidR="004975E6" w:rsidRPr="0079530D" w:rsidRDefault="004975E6" w:rsidP="00472BFA">
            <w:pPr>
              <w:rPr>
                <w:rFonts w:asciiTheme="minorHAnsi" w:hAnsiTheme="minorHAnsi" w:cstheme="minorHAnsi"/>
                <w:b/>
                <w:bCs/>
                <w:sz w:val="22"/>
                <w:szCs w:val="22"/>
              </w:rPr>
            </w:pPr>
          </w:p>
        </w:tc>
        <w:tc>
          <w:tcPr>
            <w:tcW w:w="2977" w:type="dxa"/>
            <w:shd w:val="clear" w:color="auto" w:fill="auto"/>
          </w:tcPr>
          <w:p w14:paraId="58202A87"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Proponuje się dokonać weryfikacji, czy wszystkie wskazane w pkt. 1-7 informacje o API będą możliwe do wykazania przez organy publiczne.</w:t>
            </w:r>
          </w:p>
          <w:p w14:paraId="2053BE99" w14:textId="77777777" w:rsidR="004975E6" w:rsidRPr="0079530D" w:rsidRDefault="004975E6" w:rsidP="00472BFA">
            <w:pPr>
              <w:rPr>
                <w:rFonts w:asciiTheme="minorHAnsi" w:hAnsiTheme="minorHAnsi" w:cstheme="minorHAnsi"/>
                <w:sz w:val="22"/>
                <w:szCs w:val="22"/>
              </w:rPr>
            </w:pPr>
          </w:p>
        </w:tc>
        <w:tc>
          <w:tcPr>
            <w:tcW w:w="1984" w:type="dxa"/>
            <w:shd w:val="clear" w:color="auto" w:fill="auto"/>
          </w:tcPr>
          <w:p w14:paraId="47C3C5EE" w14:textId="77777777" w:rsidR="004975E6" w:rsidRPr="0079530D" w:rsidRDefault="004975E6" w:rsidP="00472BFA">
            <w:pPr>
              <w:rPr>
                <w:rFonts w:asciiTheme="minorHAnsi" w:hAnsiTheme="minorHAnsi" w:cstheme="minorHAnsi"/>
                <w:sz w:val="22"/>
                <w:szCs w:val="22"/>
              </w:rPr>
            </w:pPr>
          </w:p>
        </w:tc>
        <w:tc>
          <w:tcPr>
            <w:tcW w:w="3969" w:type="dxa"/>
          </w:tcPr>
          <w:p w14:paraId="7B084E52" w14:textId="1BF2CEF3" w:rsidR="004975E6" w:rsidRPr="0079530D" w:rsidRDefault="004975E6" w:rsidP="00472BFA">
            <w:pPr>
              <w:rPr>
                <w:rFonts w:asciiTheme="minorHAnsi" w:hAnsiTheme="minorHAnsi" w:cstheme="minorBidi"/>
                <w:b/>
                <w:bCs/>
                <w:sz w:val="22"/>
                <w:szCs w:val="22"/>
              </w:rPr>
            </w:pPr>
            <w:r w:rsidRPr="0079530D">
              <w:rPr>
                <w:rFonts w:asciiTheme="minorHAnsi" w:hAnsiTheme="minorHAnsi" w:cstheme="minorBidi"/>
                <w:b/>
                <w:bCs/>
                <w:sz w:val="22"/>
                <w:szCs w:val="22"/>
              </w:rPr>
              <w:t>Wyjaśnienie:</w:t>
            </w:r>
          </w:p>
          <w:p w14:paraId="51477786" w14:textId="079B6B2A"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W opinii projektodawcy organ udostępniający API publicznego systemu teleinformatycznego ma wiedzę i potencjał do udostępnienia informacji o takim API.</w:t>
            </w:r>
          </w:p>
          <w:p w14:paraId="044E7AD6" w14:textId="3DEC3AFA"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Należy zwrócić uwagę, że organy publiczne są w stanie wykazać informacje dotyczące API, przykłady na stronach:</w:t>
            </w:r>
          </w:p>
          <w:p w14:paraId="2F8C04E1" w14:textId="30AA01FC"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 xml:space="preserve">- Cyfrowa Piaskownica Administracji: </w:t>
            </w:r>
            <w:hyperlink r:id="rId8" w:history="1">
              <w:r w:rsidRPr="0079530D">
                <w:rPr>
                  <w:rStyle w:val="Hipercze"/>
                  <w:rFonts w:asciiTheme="minorHAnsi" w:hAnsiTheme="minorHAnsi" w:cstheme="minorHAnsi"/>
                  <w:bCs/>
                  <w:sz w:val="22"/>
                  <w:szCs w:val="22"/>
                </w:rPr>
                <w:t>https://cpa.gov.pl/store/apis/list</w:t>
              </w:r>
            </w:hyperlink>
            <w:r w:rsidRPr="0079530D">
              <w:rPr>
                <w:rFonts w:asciiTheme="minorHAnsi" w:hAnsiTheme="minorHAnsi" w:cstheme="minorHAnsi"/>
                <w:bCs/>
                <w:sz w:val="22"/>
                <w:szCs w:val="22"/>
              </w:rPr>
              <w:t xml:space="preserve"> </w:t>
            </w:r>
          </w:p>
          <w:p w14:paraId="23760777" w14:textId="77777777"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 xml:space="preserve">- Portal Otwartych Danych:  </w:t>
            </w:r>
            <w:hyperlink r:id="rId9" w:history="1">
              <w:r w:rsidRPr="0079530D">
                <w:rPr>
                  <w:rStyle w:val="Hipercze"/>
                  <w:rFonts w:asciiTheme="minorHAnsi" w:hAnsiTheme="minorHAnsi" w:cstheme="minorHAnsi"/>
                  <w:bCs/>
                  <w:sz w:val="22"/>
                  <w:szCs w:val="22"/>
                </w:rPr>
                <w:t>https://dane.gov.pl/pl/knowledgebase/useful-materials/api-partnerow-w-otwarte-dane-plus</w:t>
              </w:r>
            </w:hyperlink>
            <w:r w:rsidRPr="0079530D">
              <w:rPr>
                <w:rFonts w:asciiTheme="minorHAnsi" w:hAnsiTheme="minorHAnsi" w:cstheme="minorHAnsi"/>
                <w:bCs/>
                <w:sz w:val="22"/>
                <w:szCs w:val="22"/>
              </w:rPr>
              <w:t xml:space="preserve"> </w:t>
            </w:r>
          </w:p>
          <w:p w14:paraId="7A214A33" w14:textId="147A96A9"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Zgodnie z art. 12k ust. 4: „Podmiot prowadzący rejestr publiczny przy użyciu systemu teleinformatycznego lub używający systemu teleinformatycznego do realizacji zadań publicznych:</w:t>
            </w:r>
          </w:p>
          <w:p w14:paraId="2688A358" w14:textId="3DF28B2A"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1) udostępnia informacje, o których mowa w ust. 3 pkt 1-4, albo wskazuje podstawę prawną nieudostępnienia takich informacji; (…)”.</w:t>
            </w:r>
          </w:p>
          <w:p w14:paraId="3C8D06D7" w14:textId="31D341C8"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Oznacza to, że w przepisach nowelizacji ustawy zdefiniowano uprawnienie do nieudostępniania informacji z art. 13 ust. 5 pkt 1-7 w przypadku występowania przepisów ustanawiających ochronę dla takich informacji.</w:t>
            </w:r>
          </w:p>
        </w:tc>
        <w:tc>
          <w:tcPr>
            <w:tcW w:w="2352" w:type="dxa"/>
          </w:tcPr>
          <w:p w14:paraId="5E58EAAD" w14:textId="11E3D162" w:rsidR="004975E6" w:rsidRPr="0079530D" w:rsidRDefault="0022019D" w:rsidP="00472BFA">
            <w:pPr>
              <w:rPr>
                <w:rFonts w:asciiTheme="minorHAnsi" w:hAnsiTheme="minorHAnsi" w:cstheme="minorBidi"/>
                <w:b/>
                <w:bCs/>
                <w:sz w:val="22"/>
                <w:szCs w:val="22"/>
              </w:rPr>
            </w:pPr>
            <w:r>
              <w:rPr>
                <w:rFonts w:asciiTheme="minorHAnsi" w:hAnsiTheme="minorHAnsi" w:cstheme="minorBidi"/>
                <w:b/>
                <w:bCs/>
                <w:sz w:val="22"/>
                <w:szCs w:val="22"/>
              </w:rPr>
              <w:t>Akceptacja.</w:t>
            </w:r>
          </w:p>
        </w:tc>
      </w:tr>
      <w:tr w:rsidR="004975E6" w:rsidRPr="0079530D" w14:paraId="1AF421FC" w14:textId="56E0B448" w:rsidTr="0022019D">
        <w:trPr>
          <w:trHeight w:val="300"/>
        </w:trPr>
        <w:tc>
          <w:tcPr>
            <w:tcW w:w="956" w:type="dxa"/>
            <w:shd w:val="clear" w:color="auto" w:fill="auto"/>
          </w:tcPr>
          <w:p w14:paraId="3CB42F47" w14:textId="3CD81548"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lastRenderedPageBreak/>
              <w:t>20.</w:t>
            </w:r>
          </w:p>
        </w:tc>
        <w:tc>
          <w:tcPr>
            <w:tcW w:w="1171" w:type="dxa"/>
            <w:shd w:val="clear" w:color="auto" w:fill="auto"/>
          </w:tcPr>
          <w:p w14:paraId="27B58C05" w14:textId="77777777" w:rsidR="004975E6" w:rsidRPr="00041D6F" w:rsidRDefault="004975E6" w:rsidP="00CE4077">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678683D1" w14:textId="7341623E" w:rsidR="004975E6" w:rsidRPr="0079530D" w:rsidRDefault="004975E6" w:rsidP="00CE4077">
            <w:pPr>
              <w:jc w:val="center"/>
              <w:rPr>
                <w:rFonts w:asciiTheme="minorHAnsi" w:hAnsiTheme="minorHAnsi" w:cstheme="minorHAnsi"/>
                <w:b/>
                <w:sz w:val="22"/>
                <w:szCs w:val="22"/>
              </w:rPr>
            </w:pPr>
          </w:p>
        </w:tc>
        <w:tc>
          <w:tcPr>
            <w:tcW w:w="1984" w:type="dxa"/>
            <w:shd w:val="clear" w:color="auto" w:fill="auto"/>
          </w:tcPr>
          <w:p w14:paraId="1F468010"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 xml:space="preserve">Art. 1 pkt 13 lit. b </w:t>
            </w:r>
          </w:p>
          <w:p w14:paraId="6EABA5B9"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(w zakresie dotyczącym art. 14 ust. 1a ustawy zmienianej)</w:t>
            </w:r>
          </w:p>
          <w:p w14:paraId="2E7BDEA4" w14:textId="77777777" w:rsidR="004975E6" w:rsidRPr="0079530D" w:rsidRDefault="004975E6" w:rsidP="00472BFA">
            <w:pPr>
              <w:rPr>
                <w:rFonts w:asciiTheme="minorHAnsi" w:hAnsiTheme="minorHAnsi" w:cstheme="minorHAnsi"/>
                <w:sz w:val="22"/>
                <w:szCs w:val="22"/>
              </w:rPr>
            </w:pPr>
          </w:p>
        </w:tc>
        <w:tc>
          <w:tcPr>
            <w:tcW w:w="2977" w:type="dxa"/>
            <w:shd w:val="clear" w:color="auto" w:fill="auto"/>
          </w:tcPr>
          <w:p w14:paraId="6118FAC4" w14:textId="4A01A816" w:rsidR="004975E6" w:rsidRPr="0079530D" w:rsidRDefault="004975E6" w:rsidP="00472BFA">
            <w:pPr>
              <w:rPr>
                <w:rFonts w:asciiTheme="minorHAnsi" w:hAnsiTheme="minorHAnsi" w:cstheme="minorHAnsi"/>
                <w:sz w:val="22"/>
                <w:szCs w:val="22"/>
              </w:rPr>
            </w:pPr>
            <w:r w:rsidRPr="0079530D">
              <w:rPr>
                <w:rFonts w:ascii="Calibri" w:hAnsi="Calibri" w:cs="Calibri"/>
                <w:sz w:val="22"/>
                <w:szCs w:val="22"/>
              </w:rPr>
              <w:t>Proponuje się dokonać weryfikacji, czy wskazane w pkt. 1-4 informacje będę możliwe do wykazania przez podmiot prowadzący rejestr publiczny – ze względu na jego zasoby organizacyjno-techniczne.</w:t>
            </w:r>
          </w:p>
        </w:tc>
        <w:tc>
          <w:tcPr>
            <w:tcW w:w="1984" w:type="dxa"/>
            <w:shd w:val="clear" w:color="auto" w:fill="auto"/>
          </w:tcPr>
          <w:p w14:paraId="16590C18" w14:textId="77777777" w:rsidR="004975E6" w:rsidRPr="0079530D" w:rsidRDefault="004975E6" w:rsidP="00472BFA">
            <w:pPr>
              <w:rPr>
                <w:rFonts w:asciiTheme="minorHAnsi" w:hAnsiTheme="minorHAnsi" w:cstheme="minorHAnsi"/>
                <w:sz w:val="22"/>
                <w:szCs w:val="22"/>
              </w:rPr>
            </w:pPr>
          </w:p>
        </w:tc>
        <w:tc>
          <w:tcPr>
            <w:tcW w:w="3969" w:type="dxa"/>
          </w:tcPr>
          <w:p w14:paraId="22024F68" w14:textId="16BA0096" w:rsidR="004975E6" w:rsidRPr="0079530D" w:rsidRDefault="004975E6" w:rsidP="00472BFA">
            <w:pPr>
              <w:rPr>
                <w:rFonts w:asciiTheme="minorHAnsi" w:hAnsiTheme="minorHAnsi" w:cstheme="minorHAnsi"/>
                <w:b/>
                <w:sz w:val="22"/>
                <w:szCs w:val="22"/>
              </w:rPr>
            </w:pPr>
            <w:r w:rsidRPr="0079530D">
              <w:rPr>
                <w:rFonts w:asciiTheme="minorHAnsi" w:hAnsiTheme="minorHAnsi" w:cstheme="minorHAnsi"/>
                <w:b/>
                <w:sz w:val="22"/>
                <w:szCs w:val="22"/>
              </w:rPr>
              <w:t>Wyjaśnienie:</w:t>
            </w:r>
          </w:p>
          <w:p w14:paraId="5C5DE6F7" w14:textId="28F54DBC"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Zgodnie z nową definicją</w:t>
            </w:r>
            <w:r>
              <w:rPr>
                <w:rFonts w:asciiTheme="minorHAnsi" w:hAnsiTheme="minorHAnsi" w:cstheme="minorHAnsi"/>
                <w:bCs/>
                <w:sz w:val="22"/>
                <w:szCs w:val="22"/>
              </w:rPr>
              <w:t xml:space="preserve"> </w:t>
            </w:r>
            <w:r w:rsidRPr="0079530D">
              <w:rPr>
                <w:rFonts w:asciiTheme="minorHAnsi" w:hAnsiTheme="minorHAnsi" w:cstheme="minorHAnsi"/>
                <w:bCs/>
                <w:sz w:val="22"/>
                <w:szCs w:val="22"/>
              </w:rPr>
              <w:t xml:space="preserve">rejestr publiczny to „uporządkowany zbiór danych służący do realizacji zadań publicznych, prowadzony na podstawie przepisów ustawowych, przez podmiot realizujący zadania publiczne”. </w:t>
            </w:r>
          </w:p>
          <w:p w14:paraId="2F69FFC5" w14:textId="0835279D"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 xml:space="preserve">Z tego względu obowiązki wynikające z art. 14 ust. 1a ustawy o informatyzacji dotyczyć będą jedynie podmiotów, które prowadzą rejestry powołane na podstawie przepisów rangi ustawowej. </w:t>
            </w:r>
          </w:p>
          <w:p w14:paraId="32BE6D31" w14:textId="0A8A1BD4" w:rsidR="004975E6" w:rsidRPr="0079530D" w:rsidRDefault="004975E6" w:rsidP="00472BFA">
            <w:pPr>
              <w:rPr>
                <w:rFonts w:asciiTheme="minorHAnsi" w:hAnsiTheme="minorHAnsi" w:cstheme="minorBidi"/>
                <w:sz w:val="22"/>
                <w:szCs w:val="22"/>
              </w:rPr>
            </w:pPr>
            <w:r w:rsidRPr="0079530D">
              <w:rPr>
                <w:rFonts w:asciiTheme="minorHAnsi" w:hAnsiTheme="minorHAnsi" w:cstheme="minorHAnsi"/>
                <w:bCs/>
                <w:sz w:val="22"/>
                <w:szCs w:val="22"/>
              </w:rPr>
              <w:t xml:space="preserve">Informacje, które podmiot będzie przekazywał do repozytorium interoperacyjności (a więc wykazywał) na podstawie </w:t>
            </w:r>
            <w:r>
              <w:rPr>
                <w:rFonts w:asciiTheme="minorHAnsi" w:hAnsiTheme="minorHAnsi" w:cstheme="minorHAnsi"/>
                <w:bCs/>
                <w:sz w:val="22"/>
                <w:szCs w:val="22"/>
              </w:rPr>
              <w:t xml:space="preserve">proponowanego </w:t>
            </w:r>
            <w:r w:rsidRPr="0079530D">
              <w:rPr>
                <w:rFonts w:asciiTheme="minorHAnsi" w:hAnsiTheme="minorHAnsi" w:cstheme="minorHAnsi"/>
                <w:bCs/>
                <w:sz w:val="22"/>
                <w:szCs w:val="22"/>
              </w:rPr>
              <w:t xml:space="preserve">art. 14 ust. 1a, zostały określone w pkt 3 i 4, </w:t>
            </w:r>
            <w:r>
              <w:rPr>
                <w:rFonts w:asciiTheme="minorHAnsi" w:hAnsiTheme="minorHAnsi" w:cstheme="minorHAnsi"/>
                <w:bCs/>
                <w:sz w:val="22"/>
                <w:szCs w:val="22"/>
              </w:rPr>
              <w:t>gdzie wskazano, że podmiot prowadzący rejestr publiczny (…) jest obowiązany</w:t>
            </w:r>
            <w:r>
              <w:rPr>
                <w:rFonts w:asciiTheme="minorHAnsi" w:hAnsiTheme="minorHAnsi" w:cstheme="minorBidi"/>
                <w:sz w:val="22"/>
                <w:szCs w:val="22"/>
              </w:rPr>
              <w:t xml:space="preserve"> </w:t>
            </w:r>
            <w:r w:rsidRPr="0079530D">
              <w:rPr>
                <w:rFonts w:asciiTheme="minorHAnsi" w:hAnsiTheme="minorHAnsi" w:cstheme="minorBidi"/>
                <w:sz w:val="22"/>
                <w:szCs w:val="22"/>
              </w:rPr>
              <w:t>„3) opracować i aktualizować:</w:t>
            </w:r>
          </w:p>
          <w:p w14:paraId="4E6FD25B" w14:textId="1F885037"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a) listę słowników, schematów klasyfikacyjnych, taksonomii oraz list kodowych dla danych gromadzonych w rejestrze publicznym,</w:t>
            </w:r>
          </w:p>
          <w:p w14:paraId="32E5D9EE" w14:textId="6AFE29A3"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b) warunki oraz procedurę dostępu do danych gromadzonych w rejestrze publicznym,</w:t>
            </w:r>
          </w:p>
          <w:p w14:paraId="36E65661" w14:textId="5DFBA9C7"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c) warunki ponownego wykorzystania danych gromadzonych w rejestrze publicznym,</w:t>
            </w:r>
          </w:p>
          <w:p w14:paraId="3D8C95B0" w14:textId="2A02C87A"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d) procedurę zgłaszania niezgodności danych w rejestrze publicznym ze stanem faktycznym – w przypadku gdy taka procedura nie została określona w przepisach regulujących funkcjonowanie rejestru publicznego;</w:t>
            </w:r>
          </w:p>
          <w:p w14:paraId="21829E21" w14:textId="77777777"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 xml:space="preserve">4) zapewniać prowadzenie pojedynczego punktu kontaktowego dla rejestru </w:t>
            </w:r>
            <w:r w:rsidRPr="0079530D">
              <w:rPr>
                <w:rFonts w:asciiTheme="minorHAnsi" w:hAnsiTheme="minorHAnsi" w:cstheme="minorBidi"/>
                <w:sz w:val="22"/>
                <w:szCs w:val="22"/>
              </w:rPr>
              <w:lastRenderedPageBreak/>
              <w:t>publicznego, poprzez który są udzielane informacje pozwalające na zapewnienie interoperacyjności w odniesieniu do prowadzonego rejestru publicznego.”</w:t>
            </w:r>
          </w:p>
          <w:p w14:paraId="6D6B6E06" w14:textId="6E416302"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Wymagania płynące z art. 14 ust. 1a pkt 3 lit. a podmiot prowadzący rejestr publiczny może spełnić bez nadmiernego nakładu pracy w odniesieniu do danych przetwarzanych w prowadzonym przez ten podmiot rejestrze, w celu zapewnienia interoperacyjności rejestrów publicznych.</w:t>
            </w:r>
          </w:p>
          <w:p w14:paraId="1CC1C6A5" w14:textId="2FCBD506"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Na podstawie § 3 pkt 3 rozporządzenia Rady Ministrów w sprawie sposobu, zakresu i trybu udostępniania danych zgromadzonych w rejestrze publicznym (Dz.U. z 2018 r. poz. 29) „Podmiot prowadzący rejestr informuje w sposób powszechnie dostępny, w tym w Biuletynie Informacji Publicznej, o warunkach, sposobie, zakresie i terminie udostępniania danych zgromadzonych w rejestrze oraz o formacie, w którym dane są udostępniane.”</w:t>
            </w:r>
            <w:r>
              <w:rPr>
                <w:rFonts w:asciiTheme="minorHAnsi" w:hAnsiTheme="minorHAnsi" w:cstheme="minorBidi"/>
                <w:sz w:val="22"/>
                <w:szCs w:val="22"/>
              </w:rPr>
              <w:t>.</w:t>
            </w:r>
          </w:p>
          <w:p w14:paraId="6835A723" w14:textId="4C49CC40"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W związku z powyższym analogiczne zakresowo wymagania jak proponowane w art. 14 ust. 1a pkt 3 lit. b zostały już postawione w przytoczonym rozporządzeniu.</w:t>
            </w:r>
          </w:p>
          <w:p w14:paraId="7A9DA8D2" w14:textId="718F9BC5"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Wymagania wynikające z art. 14 ust. 1a pkt 3 lit. c - w przypadku udostępniania z rejestru otwartych danych - są możliwe do określenia na podstawie przepisów ustawy z dnia 11 sierpnia 2021 r. o otwartych danych i ponownym wykorzystywaniu informacji sektora publicznego (Dz.U. z 2023 r. poz. 524).</w:t>
            </w:r>
          </w:p>
          <w:p w14:paraId="642E9715" w14:textId="62772AEE"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lastRenderedPageBreak/>
              <w:t>Wymagania wynikające z art. 14 ust. 1a pkt 3 lit. d</w:t>
            </w:r>
            <w:r>
              <w:rPr>
                <w:rFonts w:asciiTheme="minorHAnsi" w:hAnsiTheme="minorHAnsi" w:cstheme="minorBidi"/>
                <w:sz w:val="22"/>
                <w:szCs w:val="22"/>
              </w:rPr>
              <w:t xml:space="preserve"> (dotyczące</w:t>
            </w:r>
            <w:r w:rsidRPr="0079530D">
              <w:rPr>
                <w:rFonts w:asciiTheme="minorHAnsi" w:hAnsiTheme="minorHAnsi" w:cstheme="minorBidi"/>
                <w:sz w:val="22"/>
                <w:szCs w:val="22"/>
              </w:rPr>
              <w:t xml:space="preserve">  procedur</w:t>
            </w:r>
            <w:r>
              <w:rPr>
                <w:rFonts w:asciiTheme="minorHAnsi" w:hAnsiTheme="minorHAnsi" w:cstheme="minorBidi"/>
                <w:sz w:val="22"/>
                <w:szCs w:val="22"/>
              </w:rPr>
              <w:t>y</w:t>
            </w:r>
            <w:r w:rsidRPr="0079530D">
              <w:rPr>
                <w:rFonts w:asciiTheme="minorHAnsi" w:hAnsiTheme="minorHAnsi" w:cstheme="minorBidi"/>
                <w:sz w:val="22"/>
                <w:szCs w:val="22"/>
              </w:rPr>
              <w:t xml:space="preserve"> zgłaszania niezgodności danych w rejestrze publicznym ze stanem faktycznym</w:t>
            </w:r>
            <w:r>
              <w:rPr>
                <w:rFonts w:asciiTheme="minorHAnsi" w:hAnsiTheme="minorHAnsi" w:cstheme="minorBidi"/>
                <w:sz w:val="22"/>
                <w:szCs w:val="22"/>
              </w:rPr>
              <w:t>) podmiot</w:t>
            </w:r>
            <w:r w:rsidRPr="0079530D">
              <w:rPr>
                <w:rFonts w:asciiTheme="minorHAnsi" w:hAnsiTheme="minorHAnsi" w:cstheme="minorBidi"/>
                <w:sz w:val="22"/>
                <w:szCs w:val="22"/>
              </w:rPr>
              <w:t xml:space="preserve"> może </w:t>
            </w:r>
            <w:r>
              <w:rPr>
                <w:rFonts w:asciiTheme="minorHAnsi" w:hAnsiTheme="minorHAnsi" w:cstheme="minorBidi"/>
                <w:sz w:val="22"/>
                <w:szCs w:val="22"/>
              </w:rPr>
              <w:t>spełnić</w:t>
            </w:r>
            <w:r w:rsidRPr="0079530D">
              <w:rPr>
                <w:rFonts w:asciiTheme="minorHAnsi" w:hAnsiTheme="minorHAnsi" w:cstheme="minorBidi"/>
                <w:sz w:val="22"/>
                <w:szCs w:val="22"/>
              </w:rPr>
              <w:t xml:space="preserve"> bez nadmiernych nakładów pracy (w przypadku, gdy taka procedura nie została określona w przepisach regulujących funkcjonowanie rejestru publicznego).</w:t>
            </w:r>
          </w:p>
          <w:p w14:paraId="7131B4DB" w14:textId="4B579E44" w:rsidR="004975E6" w:rsidRPr="0079530D" w:rsidRDefault="004975E6" w:rsidP="00472BFA">
            <w:pPr>
              <w:rPr>
                <w:rFonts w:asciiTheme="minorHAnsi" w:hAnsiTheme="minorHAnsi" w:cstheme="minorBidi"/>
                <w:sz w:val="22"/>
                <w:szCs w:val="22"/>
              </w:rPr>
            </w:pPr>
            <w:r w:rsidRPr="0079530D">
              <w:rPr>
                <w:rFonts w:asciiTheme="minorHAnsi" w:hAnsiTheme="minorHAnsi" w:cstheme="minorBidi"/>
                <w:sz w:val="22"/>
                <w:szCs w:val="22"/>
              </w:rPr>
              <w:t>W przypadku pkt 4 – obecnie każdy gestor rejestru publicznego jest zobowiązany do udzielania informacji na temat tego rejestru. Wprowadzenie instytucji pojedynczego punktu kontaktowego służy ujednoliceniu danych kontaktowych właściwej instytucji. Zakres niezbędnych danych kontaktowych zostanie określony w rozporządzeniu wydanym na podstawie art. 12m.</w:t>
            </w:r>
          </w:p>
        </w:tc>
        <w:tc>
          <w:tcPr>
            <w:tcW w:w="2352" w:type="dxa"/>
          </w:tcPr>
          <w:p w14:paraId="0571139D" w14:textId="0EAA1A85" w:rsidR="004975E6" w:rsidRPr="0079530D" w:rsidRDefault="0022019D" w:rsidP="00472BFA">
            <w:pPr>
              <w:rPr>
                <w:rFonts w:asciiTheme="minorHAnsi" w:hAnsiTheme="minorHAnsi" w:cstheme="minorHAnsi"/>
                <w:b/>
                <w:sz w:val="22"/>
                <w:szCs w:val="22"/>
              </w:rPr>
            </w:pPr>
            <w:r>
              <w:rPr>
                <w:rFonts w:asciiTheme="minorHAnsi" w:hAnsiTheme="minorHAnsi" w:cstheme="minorHAnsi"/>
                <w:b/>
                <w:sz w:val="22"/>
                <w:szCs w:val="22"/>
              </w:rPr>
              <w:lastRenderedPageBreak/>
              <w:t>Akceptacja.</w:t>
            </w:r>
          </w:p>
        </w:tc>
      </w:tr>
      <w:tr w:rsidR="004975E6" w:rsidRPr="0079530D" w14:paraId="4F2CC045" w14:textId="6D1C2293" w:rsidTr="0022019D">
        <w:trPr>
          <w:trHeight w:val="300"/>
        </w:trPr>
        <w:tc>
          <w:tcPr>
            <w:tcW w:w="956" w:type="dxa"/>
            <w:shd w:val="clear" w:color="auto" w:fill="auto"/>
          </w:tcPr>
          <w:p w14:paraId="460BB210" w14:textId="4CAE2F1F"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lastRenderedPageBreak/>
              <w:t>23.</w:t>
            </w:r>
          </w:p>
        </w:tc>
        <w:tc>
          <w:tcPr>
            <w:tcW w:w="1171" w:type="dxa"/>
            <w:shd w:val="clear" w:color="auto" w:fill="auto"/>
          </w:tcPr>
          <w:p w14:paraId="7EF11270" w14:textId="77777777" w:rsidR="004975E6" w:rsidRPr="00041D6F" w:rsidRDefault="004975E6" w:rsidP="009A0757">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49BADEB6" w14:textId="23C252AD" w:rsidR="004975E6" w:rsidRPr="0079530D" w:rsidRDefault="004975E6" w:rsidP="00041D6F">
            <w:pPr>
              <w:rPr>
                <w:rFonts w:asciiTheme="minorHAnsi" w:hAnsiTheme="minorHAnsi" w:cstheme="minorHAnsi"/>
                <w:b/>
                <w:sz w:val="22"/>
                <w:szCs w:val="22"/>
              </w:rPr>
            </w:pPr>
          </w:p>
        </w:tc>
        <w:tc>
          <w:tcPr>
            <w:tcW w:w="1984" w:type="dxa"/>
            <w:shd w:val="clear" w:color="auto" w:fill="auto"/>
          </w:tcPr>
          <w:p w14:paraId="6E4871BF"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1 pkt 18</w:t>
            </w:r>
          </w:p>
          <w:p w14:paraId="6C40956F"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17a – 17l ustawy zmienianej)</w:t>
            </w:r>
          </w:p>
          <w:p w14:paraId="04B1B6A5" w14:textId="77777777" w:rsidR="004975E6" w:rsidRPr="0079530D" w:rsidRDefault="004975E6" w:rsidP="00472BFA">
            <w:pPr>
              <w:rPr>
                <w:rFonts w:asciiTheme="minorHAnsi" w:hAnsiTheme="minorHAnsi" w:cstheme="minorHAnsi"/>
                <w:sz w:val="22"/>
                <w:szCs w:val="22"/>
              </w:rPr>
            </w:pPr>
          </w:p>
          <w:p w14:paraId="30B87A09" w14:textId="77777777" w:rsidR="004975E6" w:rsidRPr="0079530D" w:rsidRDefault="004975E6" w:rsidP="00472BFA">
            <w:pPr>
              <w:rPr>
                <w:rFonts w:asciiTheme="minorHAnsi" w:hAnsiTheme="minorHAnsi" w:cstheme="minorHAnsi"/>
                <w:sz w:val="22"/>
                <w:szCs w:val="22"/>
              </w:rPr>
            </w:pPr>
          </w:p>
          <w:p w14:paraId="20FED039" w14:textId="516C90D5" w:rsidR="004975E6" w:rsidRPr="0079530D" w:rsidRDefault="004975E6" w:rsidP="00472BFA">
            <w:pPr>
              <w:rPr>
                <w:rFonts w:asciiTheme="minorHAnsi" w:hAnsiTheme="minorHAnsi" w:cstheme="minorHAnsi"/>
                <w:sz w:val="22"/>
                <w:szCs w:val="22"/>
              </w:rPr>
            </w:pPr>
          </w:p>
        </w:tc>
        <w:tc>
          <w:tcPr>
            <w:tcW w:w="2977" w:type="dxa"/>
            <w:shd w:val="clear" w:color="auto" w:fill="auto"/>
          </w:tcPr>
          <w:p w14:paraId="6A86E7F5" w14:textId="111EEC41" w:rsidR="004975E6" w:rsidRPr="0079530D" w:rsidRDefault="004975E6" w:rsidP="00472BFA">
            <w:pPr>
              <w:rPr>
                <w:rFonts w:asciiTheme="minorHAnsi" w:hAnsiTheme="minorHAnsi" w:cstheme="minorHAnsi"/>
                <w:sz w:val="22"/>
                <w:szCs w:val="22"/>
              </w:rPr>
            </w:pPr>
            <w:r w:rsidRPr="0079530D">
              <w:rPr>
                <w:rFonts w:ascii="Calibri" w:hAnsi="Calibri" w:cs="Calibri"/>
                <w:sz w:val="22"/>
                <w:szCs w:val="22"/>
              </w:rPr>
              <w:t>Brak jest zasadności powołania nowego urzędu centralnego - nowego regulatora rynku - tj. Komitetu do spraw Cyfryzacji, który zastąpić by miał Komitet Rady Ministrów do</w:t>
            </w:r>
            <w:r w:rsidR="00826794">
              <w:rPr>
                <w:rFonts w:ascii="Calibri" w:hAnsi="Calibri" w:cs="Calibri"/>
                <w:sz w:val="22"/>
                <w:szCs w:val="22"/>
              </w:rPr>
              <w:t xml:space="preserve"> spraw Cyfryzacji. W ocenie </w:t>
            </w:r>
            <w:r w:rsidRPr="0079530D">
              <w:rPr>
                <w:rFonts w:ascii="Calibri" w:hAnsi="Calibri" w:cs="Calibri"/>
                <w:sz w:val="22"/>
                <w:szCs w:val="22"/>
              </w:rPr>
              <w:t xml:space="preserve">MSWiA właściwszym rozwiązaniem jest utrzymanie nadal funkcjonującego Komitetu RM do Spraw Cyfryzacji. Utrzymanie obecnego stanu prawnego pozwala ministrowi właściwemu do spraw wewnętrznych oddziaływać zgodnie z jego właściwością na właściwy poziom </w:t>
            </w:r>
            <w:r w:rsidRPr="0079530D">
              <w:rPr>
                <w:rFonts w:ascii="Calibri" w:hAnsi="Calibri" w:cs="Calibri"/>
                <w:sz w:val="22"/>
                <w:szCs w:val="22"/>
              </w:rPr>
              <w:lastRenderedPageBreak/>
              <w:t>bezpieczeństwa systemów implementowanych w administracji publicznej, w tym na zdolność proponowanych rozwiązań do zarządzania kryzysowego i ochrony ludności oraz do działania w stanach kwalifikowanych, w tym do zwalczania zagrożeń i przestępczości w cyberprzestrzeni.</w:t>
            </w:r>
          </w:p>
        </w:tc>
        <w:tc>
          <w:tcPr>
            <w:tcW w:w="1984" w:type="dxa"/>
            <w:shd w:val="clear" w:color="auto" w:fill="auto"/>
          </w:tcPr>
          <w:p w14:paraId="547D8642" w14:textId="01AD0C41" w:rsidR="004975E6" w:rsidRPr="0079530D" w:rsidRDefault="004975E6" w:rsidP="00472BFA">
            <w:pPr>
              <w:rPr>
                <w:rFonts w:asciiTheme="minorHAnsi" w:hAnsiTheme="minorHAnsi" w:cstheme="minorHAnsi"/>
                <w:sz w:val="22"/>
                <w:szCs w:val="22"/>
              </w:rPr>
            </w:pPr>
            <w:r w:rsidRPr="0079530D">
              <w:rPr>
                <w:rFonts w:ascii="Calibri" w:hAnsi="Calibri" w:cs="Calibri"/>
                <w:sz w:val="22"/>
                <w:szCs w:val="22"/>
              </w:rPr>
              <w:lastRenderedPageBreak/>
              <w:t>Rezygnacja z przepisów we wskazanym zakresie.</w:t>
            </w:r>
          </w:p>
        </w:tc>
        <w:tc>
          <w:tcPr>
            <w:tcW w:w="3969" w:type="dxa"/>
          </w:tcPr>
          <w:p w14:paraId="1CE1FBB7" w14:textId="48AF8ADD" w:rsidR="004975E6" w:rsidRPr="0079530D" w:rsidRDefault="004975E6" w:rsidP="00472BFA">
            <w:pPr>
              <w:rPr>
                <w:rFonts w:asciiTheme="minorHAnsi" w:hAnsiTheme="minorHAnsi" w:cstheme="minorBidi"/>
                <w:b/>
                <w:bCs/>
                <w:sz w:val="22"/>
                <w:szCs w:val="22"/>
              </w:rPr>
            </w:pPr>
            <w:r w:rsidRPr="0079530D">
              <w:rPr>
                <w:rFonts w:asciiTheme="minorHAnsi" w:hAnsiTheme="minorHAnsi" w:cstheme="minorBidi"/>
                <w:b/>
                <w:bCs/>
                <w:sz w:val="22"/>
                <w:szCs w:val="22"/>
              </w:rPr>
              <w:t>Wyjaśnienie:</w:t>
            </w:r>
          </w:p>
          <w:p w14:paraId="6E946D29" w14:textId="562C98BD" w:rsidR="004975E6" w:rsidRPr="005E44CB" w:rsidRDefault="004975E6" w:rsidP="00472BFA">
            <w:r w:rsidRPr="0079530D">
              <w:rPr>
                <w:rFonts w:asciiTheme="minorHAnsi" w:hAnsiTheme="minorHAnsi" w:cstheme="minorBidi"/>
                <w:sz w:val="22"/>
                <w:szCs w:val="22"/>
              </w:rPr>
              <w:t>Umocowanie K</w:t>
            </w:r>
            <w:r w:rsidR="005E44CB">
              <w:rPr>
                <w:rFonts w:asciiTheme="minorHAnsi" w:hAnsiTheme="minorHAnsi" w:cstheme="minorBidi"/>
                <w:sz w:val="22"/>
                <w:szCs w:val="22"/>
              </w:rPr>
              <w:t>omitetu w akcie rangi ustawowej</w:t>
            </w:r>
            <w:r w:rsidRPr="0079530D">
              <w:rPr>
                <w:rFonts w:asciiTheme="minorHAnsi" w:hAnsiTheme="minorHAnsi" w:cstheme="minorBidi"/>
                <w:sz w:val="22"/>
                <w:szCs w:val="22"/>
              </w:rPr>
              <w:t xml:space="preserve"> zapewni sprawniejsze wykonywanie zadań dotychczas wykonywanym przez obecnie istniejący Komitet Rady Ministrów do spraw Cyfryzacji oraz lepszą koordynację, stabilność oraz trwałość mechanizmu dotyczącego właściwego przebiegu procesu transformacji cyfrowej państwa, a w szczególności administracji publicznej</w:t>
            </w:r>
          </w:p>
        </w:tc>
        <w:tc>
          <w:tcPr>
            <w:tcW w:w="2352" w:type="dxa"/>
          </w:tcPr>
          <w:p w14:paraId="66EE5908" w14:textId="35AD298A" w:rsidR="0030070D" w:rsidRPr="0030070D" w:rsidRDefault="0030070D" w:rsidP="005E44CB">
            <w:pPr>
              <w:rPr>
                <w:rFonts w:asciiTheme="minorHAnsi" w:hAnsiTheme="minorHAnsi" w:cstheme="minorBidi"/>
                <w:b/>
                <w:bCs/>
                <w:sz w:val="22"/>
                <w:szCs w:val="22"/>
              </w:rPr>
            </w:pPr>
            <w:r w:rsidRPr="0030070D">
              <w:rPr>
                <w:rFonts w:asciiTheme="minorHAnsi" w:hAnsiTheme="minorHAnsi" w:cstheme="minorBidi"/>
                <w:b/>
                <w:bCs/>
                <w:sz w:val="22"/>
                <w:szCs w:val="22"/>
              </w:rPr>
              <w:t>Podtrzymanie uwagi.</w:t>
            </w:r>
          </w:p>
          <w:p w14:paraId="1844F706" w14:textId="77777777" w:rsidR="004975E6" w:rsidRDefault="00D20649" w:rsidP="005E44CB">
            <w:pPr>
              <w:rPr>
                <w:rFonts w:asciiTheme="minorHAnsi" w:hAnsiTheme="minorHAnsi" w:cstheme="minorHAnsi"/>
                <w:sz w:val="22"/>
                <w:szCs w:val="22"/>
              </w:rPr>
            </w:pPr>
            <w:r w:rsidRPr="00CA7994">
              <w:rPr>
                <w:rFonts w:asciiTheme="minorHAnsi" w:hAnsiTheme="minorHAnsi" w:cstheme="minorBidi"/>
                <w:bCs/>
                <w:sz w:val="22"/>
                <w:szCs w:val="22"/>
              </w:rPr>
              <w:t>MSWiA przy</w:t>
            </w:r>
            <w:r w:rsidR="0022019D">
              <w:rPr>
                <w:rFonts w:asciiTheme="minorHAnsi" w:hAnsiTheme="minorHAnsi" w:cstheme="minorBidi"/>
                <w:bCs/>
                <w:sz w:val="22"/>
                <w:szCs w:val="22"/>
              </w:rPr>
              <w:t>jmuje do wiadomości przedstawione wyjaśnienie</w:t>
            </w:r>
            <w:r w:rsidRPr="00CA7994">
              <w:rPr>
                <w:rFonts w:asciiTheme="minorHAnsi" w:hAnsiTheme="minorHAnsi" w:cstheme="minorBidi"/>
                <w:bCs/>
                <w:sz w:val="22"/>
                <w:szCs w:val="22"/>
              </w:rPr>
              <w:t xml:space="preserve">. Jednakże </w:t>
            </w:r>
            <w:r w:rsidR="00E4404C">
              <w:rPr>
                <w:rFonts w:asciiTheme="minorHAnsi" w:hAnsiTheme="minorHAnsi" w:cstheme="minorBidi"/>
                <w:bCs/>
                <w:sz w:val="22"/>
                <w:szCs w:val="22"/>
              </w:rPr>
              <w:t xml:space="preserve">w dalszym ciągu </w:t>
            </w:r>
            <w:r w:rsidR="00826794">
              <w:rPr>
                <w:rFonts w:asciiTheme="minorHAnsi" w:hAnsiTheme="minorHAnsi" w:cstheme="minorBidi"/>
                <w:bCs/>
                <w:sz w:val="22"/>
                <w:szCs w:val="22"/>
              </w:rPr>
              <w:t>podtrzymuje stanowisko o</w:t>
            </w:r>
            <w:r w:rsidRPr="00CA7994">
              <w:rPr>
                <w:rFonts w:asciiTheme="minorHAnsi" w:hAnsiTheme="minorHAnsi" w:cstheme="minorBidi"/>
                <w:bCs/>
                <w:sz w:val="22"/>
                <w:szCs w:val="22"/>
              </w:rPr>
              <w:t xml:space="preserve"> </w:t>
            </w:r>
            <w:r w:rsidRPr="00CA7994">
              <w:rPr>
                <w:rFonts w:asciiTheme="minorHAnsi" w:hAnsiTheme="minorHAnsi" w:cstheme="minorHAnsi"/>
                <w:sz w:val="22"/>
                <w:szCs w:val="22"/>
              </w:rPr>
              <w:t>braku zasadności powołania nowego urzędu centralnego - nowego</w:t>
            </w:r>
            <w:r w:rsidR="00826794">
              <w:rPr>
                <w:rFonts w:asciiTheme="minorHAnsi" w:hAnsiTheme="minorHAnsi" w:cstheme="minorHAnsi"/>
                <w:sz w:val="22"/>
                <w:szCs w:val="22"/>
              </w:rPr>
              <w:t xml:space="preserve"> regulatora rynku. W ocenie </w:t>
            </w:r>
            <w:r w:rsidRPr="00CA7994">
              <w:rPr>
                <w:rFonts w:asciiTheme="minorHAnsi" w:hAnsiTheme="minorHAnsi" w:cstheme="minorHAnsi"/>
                <w:sz w:val="22"/>
                <w:szCs w:val="22"/>
              </w:rPr>
              <w:t xml:space="preserve">MSWiA właściwszym rozwiązaniem jest utrzymanie nadal funkcjonującego Komitetu RM do Spraw </w:t>
            </w:r>
            <w:r w:rsidRPr="00CA7994">
              <w:rPr>
                <w:rFonts w:asciiTheme="minorHAnsi" w:hAnsiTheme="minorHAnsi" w:cstheme="minorHAnsi"/>
                <w:sz w:val="22"/>
                <w:szCs w:val="22"/>
              </w:rPr>
              <w:lastRenderedPageBreak/>
              <w:t>Cyfryzacji. Utrzymanie obecnego stanu prawnego pozwal</w:t>
            </w:r>
            <w:r w:rsidR="00CA7994" w:rsidRPr="00CA7994">
              <w:rPr>
                <w:rFonts w:asciiTheme="minorHAnsi" w:hAnsiTheme="minorHAnsi" w:cstheme="minorHAnsi"/>
                <w:sz w:val="22"/>
                <w:szCs w:val="22"/>
              </w:rPr>
              <w:t>i</w:t>
            </w:r>
            <w:r w:rsidRPr="00CA7994">
              <w:rPr>
                <w:rFonts w:asciiTheme="minorHAnsi" w:hAnsiTheme="minorHAnsi" w:cstheme="minorHAnsi"/>
                <w:sz w:val="22"/>
                <w:szCs w:val="22"/>
              </w:rPr>
              <w:t xml:space="preserve"> ministrowi właściwemu do spraw wewnętrznych oddziaływać zgodnie z jego właściwością na właściwy poziom bezpieczeństwa systemów implementowanych w administracji publicznej, w tym na zdolność proponowanych rozwiązań do zarządzania kryzysowego i ochrony ludności oraz do działania w stanach kwalifikowanych, w tym do zwalczania zagrożeń i przestępczości w cyberprzestrzeni.</w:t>
            </w:r>
          </w:p>
          <w:p w14:paraId="6B675829" w14:textId="2329DE61" w:rsidR="00826794" w:rsidRPr="00CA7994" w:rsidRDefault="00826794" w:rsidP="005E44CB">
            <w:pPr>
              <w:rPr>
                <w:rFonts w:asciiTheme="minorHAnsi" w:hAnsiTheme="minorHAnsi" w:cstheme="minorBidi"/>
                <w:bCs/>
                <w:sz w:val="22"/>
                <w:szCs w:val="22"/>
              </w:rPr>
            </w:pPr>
          </w:p>
        </w:tc>
      </w:tr>
      <w:tr w:rsidR="004975E6" w:rsidRPr="0079530D" w14:paraId="0EC73B09" w14:textId="3FF7C8C0" w:rsidTr="0022019D">
        <w:trPr>
          <w:trHeight w:val="300"/>
        </w:trPr>
        <w:tc>
          <w:tcPr>
            <w:tcW w:w="956" w:type="dxa"/>
            <w:shd w:val="clear" w:color="auto" w:fill="auto"/>
          </w:tcPr>
          <w:p w14:paraId="231D84DF" w14:textId="515298B2"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lastRenderedPageBreak/>
              <w:t>26.</w:t>
            </w:r>
          </w:p>
        </w:tc>
        <w:tc>
          <w:tcPr>
            <w:tcW w:w="1171" w:type="dxa"/>
            <w:shd w:val="clear" w:color="auto" w:fill="auto"/>
          </w:tcPr>
          <w:p w14:paraId="72CF66B6" w14:textId="77777777" w:rsidR="004975E6" w:rsidRPr="00041D6F" w:rsidRDefault="004975E6" w:rsidP="00582CEF">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3E7F28AB" w14:textId="19A451C6" w:rsidR="004975E6" w:rsidRPr="00041D6F" w:rsidRDefault="004975E6" w:rsidP="00582CEF">
            <w:pPr>
              <w:jc w:val="center"/>
              <w:rPr>
                <w:rFonts w:asciiTheme="minorHAnsi" w:hAnsiTheme="minorHAnsi" w:cstheme="minorHAnsi"/>
                <w:bCs/>
                <w:sz w:val="22"/>
                <w:szCs w:val="22"/>
              </w:rPr>
            </w:pPr>
            <w:r w:rsidRPr="00041D6F">
              <w:rPr>
                <w:rFonts w:asciiTheme="minorHAnsi" w:hAnsiTheme="minorHAnsi" w:cstheme="minorHAnsi"/>
                <w:sz w:val="22"/>
                <w:szCs w:val="22"/>
              </w:rPr>
              <w:t>Komenda Główna Policji</w:t>
            </w:r>
          </w:p>
        </w:tc>
        <w:tc>
          <w:tcPr>
            <w:tcW w:w="1984" w:type="dxa"/>
            <w:shd w:val="clear" w:color="auto" w:fill="auto"/>
          </w:tcPr>
          <w:p w14:paraId="45E8E1B1"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 xml:space="preserve">Art. 1 pkt 19 </w:t>
            </w:r>
          </w:p>
          <w:p w14:paraId="2F47F0CE" w14:textId="122717C0"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sz w:val="22"/>
                <w:szCs w:val="22"/>
              </w:rPr>
              <w:t>(</w:t>
            </w:r>
            <w:r w:rsidRPr="0079530D">
              <w:rPr>
                <w:rFonts w:asciiTheme="minorHAnsi" w:hAnsiTheme="minorHAnsi" w:cstheme="minorHAnsi"/>
                <w:b/>
                <w:bCs/>
                <w:sz w:val="22"/>
                <w:szCs w:val="22"/>
              </w:rPr>
              <w:t>art. 18 pkt 1 lit. c, pkt 2 lit. b, pkt 3</w:t>
            </w:r>
            <w:r w:rsidRPr="0079530D">
              <w:rPr>
                <w:rFonts w:asciiTheme="minorHAnsi" w:hAnsiTheme="minorHAnsi" w:cstheme="minorHAnsi"/>
                <w:sz w:val="22"/>
                <w:szCs w:val="22"/>
              </w:rPr>
              <w:t xml:space="preserve"> ustawy o informatyzacji działalności podmiotów realizujących zadania publiczne)</w:t>
            </w:r>
          </w:p>
        </w:tc>
        <w:tc>
          <w:tcPr>
            <w:tcW w:w="2977" w:type="dxa"/>
            <w:shd w:val="clear" w:color="auto" w:fill="auto"/>
          </w:tcPr>
          <w:p w14:paraId="00C6C911"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 xml:space="preserve">Analizowany projekt zakłada również zawężenie treści projektowanego art. 18 pkt 1 lit. c, pkt 2 lit b oraz pkt 3 do norm zatwierdzonych przez międzynarodową lub krajową jednostkę normalizacyjną, co wyłącza zastosowanie norm europejskich i zharmonizowanych, o których mowa w art. 2 pkt 1 </w:t>
            </w:r>
            <w:r w:rsidRPr="0079530D">
              <w:rPr>
                <w:rFonts w:ascii="Calibri" w:hAnsi="Calibri" w:cs="Calibri"/>
                <w:sz w:val="22"/>
                <w:szCs w:val="22"/>
              </w:rPr>
              <w:lastRenderedPageBreak/>
              <w:t>rozporządzenia Parlamentu Europejskiego i Rady (UE) nr 1025/2012 z dnia 25 października 2012 r. w sprawie normalizacji europejskiej, zmieniające dyrektywy Rady 89/686/EWG i 93/15/EWG oraz dyrektywy Parlamentu Europejskiego i Rady 94/9/WE, 94/25/WE, 95/16/WE, 97/23/WE, 98/34/WE, 2004/22/WE, 2007/23/WE, 2009/23/WE i 2009/105/WE oraz uchylające decyzję Rady 87/95/EWG i decyzję Parlamentu Europejskiego i Rady nr 1673/2006/WE (Dz. Urz. UE L 316 z 14.11.2012, str. 12), zwanego dalej „rozporządzeniem 1025/2012”. Właściwym wydaje się wskazanie, że art. 2 pkt 10 rozporządzenia 2024/903 definiuje normę w oparciu o art. 2 pkt 1 rozporządzenia 1025/2012. Zgodnie z przywołanym przepisem rozporządzenia 1025/2012 „norma” oznacza specyfikację techniczną przyjętą przez uznaną jednostkę normalizacyjną do wielokrotnego lub ciągłego stosowania, zgodność z którą nie jest obowiązkowa i którą jest jedna z następujących norm:</w:t>
            </w:r>
          </w:p>
          <w:p w14:paraId="651C3A03"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lastRenderedPageBreak/>
              <w:t>a) "norma międzynarodowa" oznacza normę przyjętą przez międzynarodową jednostkę normalizacyjną,</w:t>
            </w:r>
          </w:p>
          <w:p w14:paraId="06EA5EB6"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b) "norma europejska" oznacza normę przyjętą przez europejską organizację normalizacyjną,</w:t>
            </w:r>
          </w:p>
          <w:p w14:paraId="68400DFC"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c) "norma zharmonizowana" oznacza normę europejską przyjętą na podstawie złożonego przez Komisję wniosku do celów zastosowania prawodawstwa harmonizacyjnego Unii,</w:t>
            </w:r>
          </w:p>
          <w:p w14:paraId="7C655A47"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d) "norma krajowa" oznacza normę przyjętą przez krajową jednostkę normalizacyjną.</w:t>
            </w:r>
          </w:p>
          <w:p w14:paraId="57455EE9"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 xml:space="preserve">Projektowane przepisy art. 18 pkt 1 lit. c, pkt 2 lit. b oraz pkt 3 zostały zawężone do norm zatwierdzonych przez międzynarodową lub krajową jednostkę normalizacyjną, nie uwzględniając norm europejskich i zharmonizowanych. Uzasadnienie projektu nie wyjaśnia również przyjętego rozwiązania. </w:t>
            </w:r>
          </w:p>
          <w:p w14:paraId="1B56FA12"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 xml:space="preserve">Zasadność dodania do projektowanego art. 18 norm europejskich wynika z konieczności dążenia do współpracy między europejskimi organizacjami normalizacyjnymi i międzynarodowymi </w:t>
            </w:r>
            <w:r w:rsidRPr="0079530D">
              <w:rPr>
                <w:rFonts w:ascii="Calibri" w:hAnsi="Calibri" w:cs="Calibri"/>
                <w:sz w:val="22"/>
                <w:szCs w:val="22"/>
              </w:rPr>
              <w:lastRenderedPageBreak/>
              <w:t xml:space="preserve">jednostkami normalizacyjnymi, a także promowania dwustronnego podejście w kontaktach z państwami trzecimi w celu koordynacji działań normalizacyjnych i propagowania norm europejskich, np. przy negocjowaniu porozumień lub w drodze oddelegowywania do państw trzecich ekspertów w dziedzinie normalizacji. Uwzględnienie w projekcie norm europejskich podyktowane jest również regulacjami ujętymi w rozporządzeniu 1025/2012 ustanawiającym reguły odnoszące się do współpracy między europejskimi organizacjami normalizacyjnymi, krajowymi jednostkami normalizacyjnymi, państwami członkowskimi i Komisją, a także ustanawiającym normy europejskie i europejskie dokumenty normalizacyjne dotyczące produktów i usług w ramach wspierania prawodawstwa i polityki Unii, identyfikacji specyfikacji technicznych TIK kwalifikujących się do powoływania, finansowania normalizacji europejskiej oraz uczestnictwa </w:t>
            </w:r>
            <w:r w:rsidRPr="0079530D">
              <w:rPr>
                <w:rFonts w:ascii="Calibri" w:hAnsi="Calibri" w:cs="Calibri"/>
                <w:sz w:val="22"/>
                <w:szCs w:val="22"/>
              </w:rPr>
              <w:lastRenderedPageBreak/>
              <w:t>zainteresowanych stron w tej normalizacji.</w:t>
            </w:r>
          </w:p>
          <w:p w14:paraId="75EDC9A7" w14:textId="72C44DD1" w:rsidR="004975E6" w:rsidRPr="0079530D" w:rsidRDefault="004975E6" w:rsidP="00472BFA">
            <w:pPr>
              <w:rPr>
                <w:rFonts w:ascii="Calibri" w:hAnsi="Calibri" w:cs="Calibri"/>
                <w:sz w:val="22"/>
                <w:szCs w:val="22"/>
              </w:rPr>
            </w:pPr>
            <w:r w:rsidRPr="0079530D">
              <w:rPr>
                <w:rFonts w:ascii="Calibri" w:hAnsi="Calibri" w:cs="Calibri"/>
                <w:sz w:val="22"/>
                <w:szCs w:val="22"/>
              </w:rPr>
              <w:t>W art. 2 rozporządzenia 2024/903 wskazano m.in. definicje:  „europejskiego dokumentu normalizacyjnego”, „projektu normy”, „specyfikacji technicznej”, „europejskiej organizacji normalizacyjnej”, ,,międzynarodowej jednostki normalizacyjnej”, „krajowej jednostki normalizacyjnej”, które mają szerszy zakres niż ten wynikający z projektowanego art 18 wskazując, iż jego treść pozostaje w sprzeczności z ww. rozporządzeniami.</w:t>
            </w:r>
          </w:p>
        </w:tc>
        <w:tc>
          <w:tcPr>
            <w:tcW w:w="1984" w:type="dxa"/>
            <w:shd w:val="clear" w:color="auto" w:fill="auto"/>
          </w:tcPr>
          <w:p w14:paraId="3E5DFC10" w14:textId="6FEA3D7D" w:rsidR="004975E6" w:rsidRPr="0079530D" w:rsidRDefault="004975E6" w:rsidP="00472BFA">
            <w:pPr>
              <w:rPr>
                <w:rFonts w:ascii="Calibri" w:hAnsi="Calibri" w:cs="Calibri"/>
                <w:sz w:val="22"/>
                <w:szCs w:val="22"/>
              </w:rPr>
            </w:pPr>
            <w:r w:rsidRPr="0079530D">
              <w:rPr>
                <w:rFonts w:ascii="Calibri" w:hAnsi="Calibri" w:cs="Calibri"/>
                <w:sz w:val="22"/>
                <w:szCs w:val="22"/>
              </w:rPr>
              <w:lastRenderedPageBreak/>
              <w:t xml:space="preserve">Projektowane przepisy art. 18 pkt 1 lit. c, pkt 2 lit. b oraz pkt 3 zostały zawężone do norm zatwierdzonych przez międzynarodową lub krajową jednostkę normalizacyjną, nie </w:t>
            </w:r>
            <w:r w:rsidRPr="0079530D">
              <w:rPr>
                <w:rFonts w:ascii="Calibri" w:hAnsi="Calibri" w:cs="Calibri"/>
                <w:sz w:val="22"/>
                <w:szCs w:val="22"/>
              </w:rPr>
              <w:lastRenderedPageBreak/>
              <w:t xml:space="preserve">uwzględniając norm europejskich i zharmonizowanych. W związku z powyższym proponuje się dodanie norm europejskich i zharmonizowanych. </w:t>
            </w:r>
          </w:p>
        </w:tc>
        <w:tc>
          <w:tcPr>
            <w:tcW w:w="3969" w:type="dxa"/>
          </w:tcPr>
          <w:p w14:paraId="21727CD7" w14:textId="77777777" w:rsidR="004975E6" w:rsidRPr="0079530D" w:rsidRDefault="004975E6" w:rsidP="00472BFA">
            <w:pPr>
              <w:rPr>
                <w:rFonts w:asciiTheme="minorHAnsi" w:hAnsiTheme="minorHAnsi" w:cstheme="minorHAnsi"/>
                <w:b/>
                <w:sz w:val="22"/>
                <w:szCs w:val="22"/>
              </w:rPr>
            </w:pPr>
            <w:r w:rsidRPr="0079530D">
              <w:rPr>
                <w:rFonts w:asciiTheme="minorHAnsi" w:hAnsiTheme="minorHAnsi" w:cstheme="minorHAnsi"/>
                <w:b/>
                <w:sz w:val="22"/>
                <w:szCs w:val="22"/>
              </w:rPr>
              <w:lastRenderedPageBreak/>
              <w:t>Uwaga częściowo uwzględniona</w:t>
            </w:r>
          </w:p>
          <w:p w14:paraId="369BB6F9" w14:textId="6501A6C7" w:rsidR="004975E6" w:rsidRPr="0079530D" w:rsidRDefault="004975E6" w:rsidP="00472BFA">
            <w:pPr>
              <w:rPr>
                <w:rFonts w:asciiTheme="minorHAnsi" w:hAnsiTheme="minorHAnsi" w:cstheme="minorHAnsi"/>
                <w:bCs/>
                <w:sz w:val="22"/>
                <w:szCs w:val="22"/>
              </w:rPr>
            </w:pPr>
            <w:r w:rsidRPr="0079530D">
              <w:rPr>
                <w:rFonts w:asciiTheme="minorHAnsi" w:hAnsiTheme="minorHAnsi" w:cstheme="minorHAnsi"/>
                <w:bCs/>
                <w:sz w:val="22"/>
                <w:szCs w:val="22"/>
              </w:rPr>
              <w:t>Art. 18 został uzupełniony -</w:t>
            </w:r>
            <w:r w:rsidRPr="0079530D">
              <w:rPr>
                <w:rFonts w:ascii="Calibri" w:hAnsi="Calibri" w:cs="Calibri"/>
                <w:sz w:val="22"/>
                <w:szCs w:val="22"/>
              </w:rPr>
              <w:t xml:space="preserve"> dodano normy, zatwierdzone przez europejską jednostkę normalizacyjną. Nie dodano natomiast "norm zharmonizowanych", ponieważ są one podzbiorem norm europejskich.</w:t>
            </w:r>
          </w:p>
        </w:tc>
        <w:tc>
          <w:tcPr>
            <w:tcW w:w="2352" w:type="dxa"/>
          </w:tcPr>
          <w:p w14:paraId="1FDD5767" w14:textId="1120DBAB" w:rsidR="004975E6" w:rsidRPr="0079530D" w:rsidRDefault="0022019D" w:rsidP="00472BFA">
            <w:pPr>
              <w:rPr>
                <w:rFonts w:asciiTheme="minorHAnsi" w:hAnsiTheme="minorHAnsi" w:cstheme="minorHAnsi"/>
                <w:b/>
                <w:sz w:val="22"/>
                <w:szCs w:val="22"/>
              </w:rPr>
            </w:pPr>
            <w:r>
              <w:rPr>
                <w:rFonts w:asciiTheme="minorHAnsi" w:hAnsiTheme="minorHAnsi" w:cstheme="minorHAnsi"/>
                <w:b/>
                <w:sz w:val="22"/>
                <w:szCs w:val="22"/>
              </w:rPr>
              <w:t>Akceptacja.</w:t>
            </w:r>
          </w:p>
        </w:tc>
      </w:tr>
      <w:tr w:rsidR="004975E6" w:rsidRPr="0079530D" w14:paraId="273E1290" w14:textId="22C8B456" w:rsidTr="0022019D">
        <w:trPr>
          <w:trHeight w:val="300"/>
        </w:trPr>
        <w:tc>
          <w:tcPr>
            <w:tcW w:w="956" w:type="dxa"/>
            <w:shd w:val="clear" w:color="auto" w:fill="auto"/>
          </w:tcPr>
          <w:p w14:paraId="1FF11BA6" w14:textId="3497F7F4"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lastRenderedPageBreak/>
              <w:t>28.</w:t>
            </w:r>
          </w:p>
        </w:tc>
        <w:tc>
          <w:tcPr>
            <w:tcW w:w="1171" w:type="dxa"/>
            <w:shd w:val="clear" w:color="auto" w:fill="auto"/>
          </w:tcPr>
          <w:p w14:paraId="7A0A503B" w14:textId="77777777" w:rsidR="004975E6" w:rsidRPr="00041D6F" w:rsidRDefault="004975E6" w:rsidP="00AB2CF8">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7FBE85B2" w14:textId="1354654C" w:rsidR="004975E6" w:rsidRPr="00041D6F" w:rsidRDefault="004975E6" w:rsidP="00AB2CF8">
            <w:pPr>
              <w:jc w:val="center"/>
              <w:rPr>
                <w:rFonts w:asciiTheme="minorHAnsi" w:hAnsiTheme="minorHAnsi" w:cstheme="minorHAnsi"/>
                <w:sz w:val="22"/>
                <w:szCs w:val="22"/>
              </w:rPr>
            </w:pPr>
            <w:r w:rsidRPr="00041D6F">
              <w:rPr>
                <w:rFonts w:asciiTheme="minorHAnsi" w:hAnsiTheme="minorHAnsi" w:cstheme="minorHAnsi"/>
                <w:sz w:val="22"/>
                <w:szCs w:val="22"/>
              </w:rPr>
              <w:t>Komenda Główna Policji</w:t>
            </w:r>
          </w:p>
        </w:tc>
        <w:tc>
          <w:tcPr>
            <w:tcW w:w="1984" w:type="dxa"/>
            <w:shd w:val="clear" w:color="auto" w:fill="auto"/>
          </w:tcPr>
          <w:p w14:paraId="4B1BE810" w14:textId="132AF590"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1 pkt 22</w:t>
            </w:r>
            <w:r w:rsidRPr="0079530D">
              <w:rPr>
                <w:rFonts w:asciiTheme="minorHAnsi" w:hAnsiTheme="minorHAnsi" w:cstheme="minorHAnsi"/>
                <w:sz w:val="22"/>
                <w:szCs w:val="22"/>
              </w:rPr>
              <w:t xml:space="preserve"> (dodawany </w:t>
            </w:r>
            <w:r w:rsidRPr="0079530D">
              <w:rPr>
                <w:rFonts w:asciiTheme="minorHAnsi" w:hAnsiTheme="minorHAnsi" w:cstheme="minorHAnsi"/>
                <w:b/>
                <w:bCs/>
                <w:sz w:val="22"/>
                <w:szCs w:val="22"/>
              </w:rPr>
              <w:t>art. 20ga ust. 1</w:t>
            </w:r>
            <w:r w:rsidRPr="0079530D">
              <w:rPr>
                <w:rFonts w:asciiTheme="minorHAnsi" w:hAnsiTheme="minorHAnsi" w:cstheme="minorHAnsi"/>
                <w:sz w:val="22"/>
                <w:szCs w:val="22"/>
              </w:rPr>
              <w:t xml:space="preserve"> ustawy o informatyzacji działalności podmiotów realizujących zadania publiczne)</w:t>
            </w:r>
          </w:p>
        </w:tc>
        <w:tc>
          <w:tcPr>
            <w:tcW w:w="2977" w:type="dxa"/>
            <w:shd w:val="clear" w:color="auto" w:fill="auto"/>
          </w:tcPr>
          <w:p w14:paraId="721B5FA3" w14:textId="77777777" w:rsidR="004975E6" w:rsidRPr="0079530D" w:rsidRDefault="004975E6" w:rsidP="00472BFA">
            <w:pPr>
              <w:rPr>
                <w:rFonts w:asciiTheme="minorHAnsi" w:hAnsiTheme="minorHAnsi" w:cstheme="minorHAnsi"/>
                <w:sz w:val="22"/>
                <w:szCs w:val="22"/>
              </w:rPr>
            </w:pPr>
            <w:r w:rsidRPr="0079530D">
              <w:rPr>
                <w:rFonts w:asciiTheme="minorHAnsi" w:hAnsiTheme="minorHAnsi" w:cstheme="minorHAnsi"/>
                <w:sz w:val="22"/>
                <w:szCs w:val="22"/>
              </w:rPr>
              <w:t xml:space="preserve">W ocenie Komendy Głównej Policji zasadne wydaje się  rozszerzenie katalogu systemów teleinformatycznych i rejestrów publicznych wyłączonych spod inwentaryzacji przez właściwego ministra do spraw informatyzacji o systemy z zakresu bezpieczeństwa publicznego. </w:t>
            </w:r>
          </w:p>
          <w:p w14:paraId="1F30F79D" w14:textId="6B0C9B16" w:rsidR="004975E6" w:rsidRPr="0079530D" w:rsidRDefault="004975E6" w:rsidP="00472BFA">
            <w:pPr>
              <w:rPr>
                <w:rFonts w:asciiTheme="minorHAnsi" w:hAnsiTheme="minorHAnsi" w:cstheme="minorHAnsi"/>
                <w:sz w:val="22"/>
                <w:szCs w:val="22"/>
              </w:rPr>
            </w:pPr>
            <w:r w:rsidRPr="0079530D">
              <w:rPr>
                <w:rFonts w:asciiTheme="minorHAnsi" w:hAnsiTheme="minorHAnsi" w:cstheme="minorHAnsi"/>
                <w:sz w:val="22"/>
                <w:szCs w:val="22"/>
              </w:rPr>
              <w:t xml:space="preserve">Konieczność dodania do katalogu wyłączeń systemów teleinformatycznych wykorzystywanych dla celów bezpieczeństwa publicznego podyktowane jest szczególnym reżimem ochrony </w:t>
            </w:r>
            <w:r w:rsidRPr="0079530D">
              <w:rPr>
                <w:rFonts w:asciiTheme="minorHAnsi" w:hAnsiTheme="minorHAnsi" w:cstheme="minorHAnsi"/>
                <w:sz w:val="22"/>
                <w:szCs w:val="22"/>
              </w:rPr>
              <w:lastRenderedPageBreak/>
              <w:t>przetwarzanych przez Policję informacji związanych z realizacją ustawowych zadań z zakresu zapewnienia bezpieczeństwa i porządku publicznego, w szczególności wynikających z uregulowań zawartych w ustawie z dnia 6 kwietnia 1990 r. o Policji (Dz. U. z 2024 r. poz. 145, z późn. zm.) oraz z przepisów ustawy z dnia 14 grudnia 2018 r. o ochronie danych osobowych przetwarzanych w związku z zapobieganiem i zwalczaniem przestępczości (Dz. U. z 2023 r. poz. 1206).</w:t>
            </w:r>
          </w:p>
          <w:p w14:paraId="08A284F5" w14:textId="13902817" w:rsidR="004975E6" w:rsidRPr="0079530D" w:rsidRDefault="004975E6" w:rsidP="00472BFA">
            <w:pPr>
              <w:rPr>
                <w:rFonts w:asciiTheme="minorHAnsi" w:hAnsiTheme="minorHAnsi" w:cstheme="minorHAnsi"/>
                <w:sz w:val="22"/>
                <w:szCs w:val="22"/>
              </w:rPr>
            </w:pPr>
            <w:r w:rsidRPr="0079530D">
              <w:rPr>
                <w:rFonts w:asciiTheme="minorHAnsi" w:hAnsiTheme="minorHAnsi" w:cstheme="minorHAnsi"/>
                <w:sz w:val="22"/>
                <w:szCs w:val="22"/>
              </w:rPr>
              <w:t xml:space="preserve">Nadmienić należy, iż podstawę do wyłączenia systemów teleinformatycznych wykorzystywanych do celów bezpieczeństwa publicznego wskazuje art. 1 ust. 3 rozporządzenia Parlamentu Europejskiego i Rady (UE) 2024/903 z dnia 13 marca 2024 r. w sprawie ustanowienia środków na rzecz wysokiego poziomu interoperacyjności sektora publicznego na terytorium Unii (akt w sprawie Interpretacyjnej Europy) (Dz. Urz. UE L 2024/903 z 22.03.2024 r.), zwane dalej „rozporządzeniem 2024/903”. Z przywołanego przepisu wynika, że „nie wymaga </w:t>
            </w:r>
            <w:r w:rsidRPr="0079530D">
              <w:rPr>
                <w:rFonts w:asciiTheme="minorHAnsi" w:hAnsiTheme="minorHAnsi" w:cstheme="minorHAnsi"/>
                <w:sz w:val="22"/>
                <w:szCs w:val="22"/>
              </w:rPr>
              <w:lastRenderedPageBreak/>
              <w:t>dostarczania informacji, których ujawnienie byłoby sprzeczne z podstawowymi interesami bezpieczeństwa publicznego, obronności lub bezpieczeństwa narodowego państw członkowskich”.</w:t>
            </w:r>
          </w:p>
        </w:tc>
        <w:tc>
          <w:tcPr>
            <w:tcW w:w="1984" w:type="dxa"/>
            <w:shd w:val="clear" w:color="auto" w:fill="auto"/>
          </w:tcPr>
          <w:p w14:paraId="45FFE543" w14:textId="77777777" w:rsidR="004975E6" w:rsidRPr="0079530D" w:rsidRDefault="004975E6" w:rsidP="00472BFA">
            <w:pPr>
              <w:rPr>
                <w:rFonts w:asciiTheme="minorHAnsi" w:hAnsiTheme="minorHAnsi" w:cstheme="minorHAnsi"/>
                <w:sz w:val="22"/>
                <w:szCs w:val="22"/>
              </w:rPr>
            </w:pPr>
            <w:r w:rsidRPr="0079530D">
              <w:rPr>
                <w:rFonts w:asciiTheme="minorHAnsi" w:hAnsiTheme="minorHAnsi" w:cstheme="minorHAnsi"/>
                <w:sz w:val="22"/>
                <w:szCs w:val="22"/>
              </w:rPr>
              <w:lastRenderedPageBreak/>
              <w:t>Proponuje się brzmienie:</w:t>
            </w:r>
          </w:p>
          <w:p w14:paraId="5DD367FE" w14:textId="050B030D" w:rsidR="004975E6" w:rsidRPr="0079530D" w:rsidRDefault="004975E6" w:rsidP="00472BFA">
            <w:pPr>
              <w:rPr>
                <w:rFonts w:asciiTheme="minorHAnsi" w:hAnsiTheme="minorHAnsi" w:cstheme="minorHAnsi"/>
                <w:sz w:val="22"/>
                <w:szCs w:val="22"/>
              </w:rPr>
            </w:pPr>
            <w:r w:rsidRPr="0079530D">
              <w:rPr>
                <w:rFonts w:asciiTheme="minorHAnsi" w:hAnsiTheme="minorHAnsi" w:cstheme="minorHAnsi"/>
                <w:sz w:val="22"/>
                <w:szCs w:val="22"/>
              </w:rPr>
              <w:t xml:space="preserve"> „1. Minister właściwy do spraw informatyzacji prowadzi inwentaryzację systemów teleinformatycznych używanych do realizacji zadań publicznych i rejestrów publicznych, z wyłączeniem systemów teleinformatycznych i rejestrów publicznych </w:t>
            </w:r>
            <w:r w:rsidRPr="0079530D">
              <w:rPr>
                <w:rFonts w:asciiTheme="minorHAnsi" w:hAnsiTheme="minorHAnsi" w:cstheme="minorHAnsi"/>
                <w:sz w:val="22"/>
                <w:szCs w:val="22"/>
              </w:rPr>
              <w:lastRenderedPageBreak/>
              <w:t>wykorzystywanych dla celów zapewnienia bezpieczeństwa narodowego i bezpieczeństwa publicznego.”</w:t>
            </w:r>
          </w:p>
        </w:tc>
        <w:tc>
          <w:tcPr>
            <w:tcW w:w="3969" w:type="dxa"/>
          </w:tcPr>
          <w:p w14:paraId="767B6421" w14:textId="191089CB" w:rsidR="004975E6" w:rsidRPr="0079530D" w:rsidRDefault="004975E6" w:rsidP="00472BFA">
            <w:pPr>
              <w:rPr>
                <w:rFonts w:asciiTheme="minorHAnsi" w:hAnsiTheme="minorHAnsi" w:cstheme="minorHAnsi"/>
                <w:b/>
                <w:sz w:val="22"/>
                <w:szCs w:val="22"/>
              </w:rPr>
            </w:pPr>
            <w:r w:rsidRPr="0079530D">
              <w:rPr>
                <w:rFonts w:asciiTheme="minorHAnsi" w:hAnsiTheme="minorHAnsi" w:cstheme="minorHAnsi"/>
                <w:b/>
                <w:sz w:val="22"/>
                <w:szCs w:val="22"/>
              </w:rPr>
              <w:lastRenderedPageBreak/>
              <w:t xml:space="preserve">Uwaga uwzględniona </w:t>
            </w:r>
          </w:p>
          <w:p w14:paraId="124975EF" w14:textId="6DC8D68C" w:rsidR="004975E6" w:rsidRPr="0079530D" w:rsidRDefault="004975E6" w:rsidP="00472BFA">
            <w:pPr>
              <w:rPr>
                <w:rFonts w:asciiTheme="minorHAnsi" w:hAnsiTheme="minorHAnsi" w:cstheme="minorHAnsi"/>
                <w:b/>
                <w:sz w:val="22"/>
                <w:szCs w:val="22"/>
              </w:rPr>
            </w:pPr>
            <w:r w:rsidRPr="0079530D">
              <w:rPr>
                <w:rFonts w:asciiTheme="minorHAnsi" w:hAnsiTheme="minorHAnsi" w:cstheme="minorHAnsi"/>
                <w:bCs/>
                <w:sz w:val="22"/>
                <w:szCs w:val="22"/>
              </w:rPr>
              <w:t>Odpowiednia zmiana została wprowadzona w projekcie</w:t>
            </w:r>
            <w:r w:rsidRPr="0079530D">
              <w:rPr>
                <w:rFonts w:asciiTheme="minorHAnsi" w:hAnsiTheme="minorHAnsi" w:cstheme="minorHAnsi"/>
                <w:b/>
                <w:sz w:val="22"/>
                <w:szCs w:val="22"/>
              </w:rPr>
              <w:t xml:space="preserve">. </w:t>
            </w:r>
            <w:r w:rsidRPr="0079530D">
              <w:rPr>
                <w:rFonts w:asciiTheme="minorHAnsi" w:hAnsiTheme="minorHAnsi" w:cstheme="minorHAnsi"/>
                <w:b/>
                <w:sz w:val="22"/>
                <w:szCs w:val="22"/>
              </w:rPr>
              <w:br/>
            </w:r>
          </w:p>
        </w:tc>
        <w:tc>
          <w:tcPr>
            <w:tcW w:w="2352" w:type="dxa"/>
          </w:tcPr>
          <w:p w14:paraId="08BB04E9" w14:textId="14EB4ED8" w:rsidR="004975E6" w:rsidRPr="0079530D" w:rsidRDefault="0022019D" w:rsidP="00472BFA">
            <w:pPr>
              <w:rPr>
                <w:rFonts w:asciiTheme="minorHAnsi" w:hAnsiTheme="minorHAnsi" w:cstheme="minorHAnsi"/>
                <w:b/>
                <w:sz w:val="22"/>
                <w:szCs w:val="22"/>
              </w:rPr>
            </w:pPr>
            <w:r>
              <w:rPr>
                <w:rFonts w:asciiTheme="minorHAnsi" w:hAnsiTheme="minorHAnsi" w:cstheme="minorHAnsi"/>
                <w:b/>
                <w:sz w:val="22"/>
                <w:szCs w:val="22"/>
              </w:rPr>
              <w:t>Akceptacja</w:t>
            </w:r>
          </w:p>
        </w:tc>
      </w:tr>
      <w:tr w:rsidR="004975E6" w:rsidRPr="0079530D" w14:paraId="316C0EF1" w14:textId="0876BC16" w:rsidTr="0022019D">
        <w:trPr>
          <w:trHeight w:val="300"/>
        </w:trPr>
        <w:tc>
          <w:tcPr>
            <w:tcW w:w="956" w:type="dxa"/>
            <w:shd w:val="clear" w:color="auto" w:fill="auto"/>
          </w:tcPr>
          <w:p w14:paraId="2D2269D7" w14:textId="1F1C2A9C"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lastRenderedPageBreak/>
              <w:t>35.</w:t>
            </w:r>
          </w:p>
        </w:tc>
        <w:tc>
          <w:tcPr>
            <w:tcW w:w="1171" w:type="dxa"/>
            <w:shd w:val="clear" w:color="auto" w:fill="auto"/>
          </w:tcPr>
          <w:p w14:paraId="3431289B" w14:textId="77777777" w:rsidR="004975E6" w:rsidRPr="00041D6F" w:rsidRDefault="004975E6" w:rsidP="009A0757">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1C431B00" w14:textId="709B2EAB" w:rsidR="004975E6" w:rsidRPr="0079530D" w:rsidRDefault="004975E6" w:rsidP="009A0757">
            <w:pPr>
              <w:jc w:val="center"/>
              <w:rPr>
                <w:rFonts w:asciiTheme="minorHAnsi" w:hAnsiTheme="minorHAnsi" w:cstheme="minorHAnsi"/>
                <w:b/>
                <w:sz w:val="22"/>
                <w:szCs w:val="22"/>
              </w:rPr>
            </w:pPr>
          </w:p>
        </w:tc>
        <w:tc>
          <w:tcPr>
            <w:tcW w:w="1984" w:type="dxa"/>
            <w:shd w:val="clear" w:color="auto" w:fill="auto"/>
          </w:tcPr>
          <w:p w14:paraId="038854B3"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2 pkt 8</w:t>
            </w:r>
          </w:p>
          <w:p w14:paraId="202600C4"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34 ustawy zmienianej)</w:t>
            </w:r>
          </w:p>
          <w:p w14:paraId="6CF81958"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uwaga redakcyjna</w:t>
            </w:r>
          </w:p>
          <w:p w14:paraId="556F83D3" w14:textId="77777777" w:rsidR="004975E6" w:rsidRPr="0079530D" w:rsidRDefault="004975E6" w:rsidP="00472BFA">
            <w:pPr>
              <w:autoSpaceDE w:val="0"/>
              <w:autoSpaceDN w:val="0"/>
              <w:adjustRightInd w:val="0"/>
              <w:rPr>
                <w:rFonts w:ascii="Calibri" w:hAnsi="Calibri" w:cs="Calibri"/>
                <w:b/>
                <w:bCs/>
                <w:sz w:val="22"/>
                <w:szCs w:val="22"/>
              </w:rPr>
            </w:pPr>
          </w:p>
        </w:tc>
        <w:tc>
          <w:tcPr>
            <w:tcW w:w="2977" w:type="dxa"/>
            <w:shd w:val="clear" w:color="auto" w:fill="auto"/>
          </w:tcPr>
          <w:p w14:paraId="04F14360"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Należy uzupełnić brakujący cudzysłów przed wyrazem: „pisemnie”</w:t>
            </w:r>
          </w:p>
          <w:p w14:paraId="322111AA" w14:textId="77777777" w:rsidR="004975E6" w:rsidRPr="0079530D" w:rsidRDefault="004975E6" w:rsidP="00472BFA">
            <w:pPr>
              <w:rPr>
                <w:rFonts w:ascii="Calibri" w:hAnsi="Calibri" w:cs="Calibri"/>
                <w:sz w:val="22"/>
                <w:szCs w:val="22"/>
              </w:rPr>
            </w:pPr>
          </w:p>
        </w:tc>
        <w:tc>
          <w:tcPr>
            <w:tcW w:w="1984" w:type="dxa"/>
            <w:shd w:val="clear" w:color="auto" w:fill="auto"/>
          </w:tcPr>
          <w:p w14:paraId="39AF82B2" w14:textId="77777777" w:rsidR="004975E6" w:rsidRPr="0079530D" w:rsidRDefault="004975E6" w:rsidP="00472BFA">
            <w:pPr>
              <w:rPr>
                <w:rFonts w:asciiTheme="minorHAnsi" w:hAnsiTheme="minorHAnsi" w:cstheme="minorHAnsi"/>
                <w:sz w:val="22"/>
                <w:szCs w:val="22"/>
              </w:rPr>
            </w:pPr>
          </w:p>
        </w:tc>
        <w:tc>
          <w:tcPr>
            <w:tcW w:w="3969" w:type="dxa"/>
          </w:tcPr>
          <w:p w14:paraId="3FE931AD" w14:textId="1007392F" w:rsidR="004975E6" w:rsidRPr="0079530D" w:rsidRDefault="004975E6" w:rsidP="00472BFA">
            <w:pPr>
              <w:rPr>
                <w:rFonts w:ascii="Calibri" w:hAnsi="Calibri" w:cs="Calibri"/>
                <w:b/>
                <w:bCs/>
                <w:sz w:val="22"/>
                <w:szCs w:val="22"/>
              </w:rPr>
            </w:pPr>
            <w:r w:rsidRPr="0079530D">
              <w:rPr>
                <w:rFonts w:ascii="Calibri" w:hAnsi="Calibri" w:cs="Calibri"/>
                <w:b/>
                <w:bCs/>
                <w:sz w:val="22"/>
                <w:szCs w:val="22"/>
              </w:rPr>
              <w:t>Uwaga uwzględniona</w:t>
            </w:r>
          </w:p>
          <w:p w14:paraId="1D35BBA3" w14:textId="1923AED5" w:rsidR="004975E6" w:rsidRPr="0079530D" w:rsidRDefault="004975E6" w:rsidP="00472BFA">
            <w:pPr>
              <w:rPr>
                <w:rFonts w:asciiTheme="minorHAnsi" w:hAnsiTheme="minorHAnsi" w:cstheme="minorHAnsi"/>
                <w:sz w:val="22"/>
                <w:szCs w:val="22"/>
              </w:rPr>
            </w:pPr>
            <w:r w:rsidRPr="0079530D">
              <w:rPr>
                <w:rFonts w:asciiTheme="minorHAnsi" w:hAnsiTheme="minorHAnsi" w:cstheme="minorHAnsi"/>
                <w:bCs/>
                <w:sz w:val="22"/>
                <w:szCs w:val="22"/>
              </w:rPr>
              <w:t xml:space="preserve">Art. 2 pkt 8 został odpowiednio uzupełniony. </w:t>
            </w:r>
          </w:p>
        </w:tc>
        <w:tc>
          <w:tcPr>
            <w:tcW w:w="2352" w:type="dxa"/>
          </w:tcPr>
          <w:p w14:paraId="4E1A42C7" w14:textId="36D874E0" w:rsidR="004975E6" w:rsidRPr="0079530D" w:rsidRDefault="0022019D" w:rsidP="00472BFA">
            <w:pPr>
              <w:rPr>
                <w:rFonts w:ascii="Calibri" w:hAnsi="Calibri" w:cs="Calibri"/>
                <w:b/>
                <w:bCs/>
                <w:sz w:val="22"/>
                <w:szCs w:val="22"/>
              </w:rPr>
            </w:pPr>
            <w:r>
              <w:rPr>
                <w:rFonts w:ascii="Calibri" w:hAnsi="Calibri" w:cs="Calibri"/>
                <w:b/>
                <w:bCs/>
                <w:sz w:val="22"/>
                <w:szCs w:val="22"/>
              </w:rPr>
              <w:t>Akceptacja</w:t>
            </w:r>
          </w:p>
        </w:tc>
      </w:tr>
      <w:tr w:rsidR="004975E6" w:rsidRPr="0079530D" w14:paraId="2AD26588" w14:textId="7059A1F3" w:rsidTr="0022019D">
        <w:trPr>
          <w:trHeight w:val="300"/>
        </w:trPr>
        <w:tc>
          <w:tcPr>
            <w:tcW w:w="956" w:type="dxa"/>
            <w:shd w:val="clear" w:color="auto" w:fill="auto"/>
          </w:tcPr>
          <w:p w14:paraId="4A3C2FB3" w14:textId="169B5361"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t>38.</w:t>
            </w:r>
          </w:p>
        </w:tc>
        <w:tc>
          <w:tcPr>
            <w:tcW w:w="1171" w:type="dxa"/>
            <w:shd w:val="clear" w:color="auto" w:fill="auto"/>
          </w:tcPr>
          <w:p w14:paraId="2A6689BF" w14:textId="77777777" w:rsidR="004975E6" w:rsidRPr="00041D6F" w:rsidRDefault="004975E6" w:rsidP="009A0757">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01FEC1D2" w14:textId="7FC2CA80" w:rsidR="004975E6" w:rsidRPr="0079530D" w:rsidRDefault="004975E6" w:rsidP="009A0757">
            <w:pPr>
              <w:jc w:val="center"/>
              <w:rPr>
                <w:rFonts w:asciiTheme="minorHAnsi" w:hAnsiTheme="minorHAnsi" w:cstheme="minorHAnsi"/>
                <w:b/>
                <w:sz w:val="22"/>
                <w:szCs w:val="22"/>
              </w:rPr>
            </w:pPr>
          </w:p>
        </w:tc>
        <w:tc>
          <w:tcPr>
            <w:tcW w:w="1984" w:type="dxa"/>
            <w:shd w:val="clear" w:color="auto" w:fill="auto"/>
          </w:tcPr>
          <w:p w14:paraId="2B3665E2"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2 pkt 12 lit. b</w:t>
            </w:r>
          </w:p>
          <w:p w14:paraId="60EF58E7"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(art. 54 ust. 2 pkt 1 ustawy zmienianej)</w:t>
            </w:r>
          </w:p>
          <w:p w14:paraId="593292E6"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uwaga redakcyjna</w:t>
            </w:r>
          </w:p>
          <w:p w14:paraId="255E35F6" w14:textId="043A5A80"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 xml:space="preserve"> </w:t>
            </w:r>
          </w:p>
        </w:tc>
        <w:tc>
          <w:tcPr>
            <w:tcW w:w="2977" w:type="dxa"/>
            <w:shd w:val="clear" w:color="auto" w:fill="auto"/>
          </w:tcPr>
          <w:p w14:paraId="2A48D957" w14:textId="4DAE84EA" w:rsidR="004975E6" w:rsidRPr="0079530D" w:rsidRDefault="004975E6" w:rsidP="00472BFA">
            <w:pPr>
              <w:rPr>
                <w:rFonts w:asciiTheme="minorHAnsi" w:hAnsiTheme="minorHAnsi" w:cstheme="minorHAnsi"/>
                <w:sz w:val="22"/>
                <w:szCs w:val="22"/>
              </w:rPr>
            </w:pPr>
            <w:r w:rsidRPr="0079530D">
              <w:rPr>
                <w:rFonts w:ascii="Calibri" w:hAnsi="Calibri" w:cs="Calibri"/>
                <w:sz w:val="22"/>
                <w:szCs w:val="22"/>
              </w:rPr>
              <w:t>Należy zmienić słowo „wyraz” na „wykaz”</w:t>
            </w:r>
          </w:p>
        </w:tc>
        <w:tc>
          <w:tcPr>
            <w:tcW w:w="1984" w:type="dxa"/>
            <w:shd w:val="clear" w:color="auto" w:fill="auto"/>
          </w:tcPr>
          <w:p w14:paraId="47C6A736" w14:textId="3B2DE97D" w:rsidR="004975E6" w:rsidRPr="0079530D" w:rsidRDefault="004975E6" w:rsidP="00472BFA">
            <w:pPr>
              <w:rPr>
                <w:rFonts w:asciiTheme="minorHAnsi" w:hAnsiTheme="minorHAnsi" w:cstheme="minorHAnsi"/>
                <w:sz w:val="22"/>
                <w:szCs w:val="22"/>
              </w:rPr>
            </w:pPr>
            <w:r w:rsidRPr="0079530D">
              <w:rPr>
                <w:rFonts w:ascii="Calibri" w:hAnsi="Calibri" w:cs="Calibri"/>
                <w:sz w:val="22"/>
                <w:szCs w:val="22"/>
              </w:rPr>
              <w:t>„wykaz ich zawartości, z podaniem nazw dokumentów (…)”</w:t>
            </w:r>
          </w:p>
        </w:tc>
        <w:tc>
          <w:tcPr>
            <w:tcW w:w="3969" w:type="dxa"/>
          </w:tcPr>
          <w:p w14:paraId="097A42C9" w14:textId="56ACF424" w:rsidR="004975E6" w:rsidRPr="0079530D" w:rsidRDefault="004975E6" w:rsidP="00472BFA">
            <w:pPr>
              <w:rPr>
                <w:rFonts w:ascii="Calibri" w:hAnsi="Calibri" w:cs="Calibri"/>
                <w:b/>
                <w:bCs/>
                <w:sz w:val="22"/>
                <w:szCs w:val="22"/>
              </w:rPr>
            </w:pPr>
            <w:r w:rsidRPr="0079530D">
              <w:rPr>
                <w:rFonts w:ascii="Calibri" w:hAnsi="Calibri" w:cs="Calibri"/>
                <w:b/>
                <w:bCs/>
                <w:sz w:val="22"/>
                <w:szCs w:val="22"/>
              </w:rPr>
              <w:t>Uwaga uwzględniona</w:t>
            </w:r>
          </w:p>
          <w:p w14:paraId="2B099CD5" w14:textId="492F0FE1" w:rsidR="004975E6" w:rsidRPr="0079530D" w:rsidRDefault="004975E6" w:rsidP="00472BFA">
            <w:pPr>
              <w:rPr>
                <w:rFonts w:asciiTheme="minorHAnsi" w:hAnsiTheme="minorHAnsi" w:cstheme="minorHAnsi"/>
                <w:bCs/>
                <w:sz w:val="22"/>
                <w:szCs w:val="22"/>
              </w:rPr>
            </w:pPr>
            <w:r w:rsidRPr="0079530D">
              <w:rPr>
                <w:rFonts w:ascii="Calibri" w:hAnsi="Calibri" w:cs="Calibri"/>
                <w:sz w:val="22"/>
                <w:szCs w:val="22"/>
              </w:rPr>
              <w:t>Przepis został odpowiednio zmieniony.</w:t>
            </w:r>
          </w:p>
        </w:tc>
        <w:tc>
          <w:tcPr>
            <w:tcW w:w="2352" w:type="dxa"/>
          </w:tcPr>
          <w:p w14:paraId="39A6D50C" w14:textId="5891F0C1" w:rsidR="004975E6" w:rsidRPr="0079530D" w:rsidRDefault="0022019D" w:rsidP="00472BFA">
            <w:pPr>
              <w:rPr>
                <w:rFonts w:ascii="Calibri" w:hAnsi="Calibri" w:cs="Calibri"/>
                <w:b/>
                <w:bCs/>
                <w:sz w:val="22"/>
                <w:szCs w:val="22"/>
              </w:rPr>
            </w:pPr>
            <w:r>
              <w:rPr>
                <w:rFonts w:ascii="Calibri" w:hAnsi="Calibri" w:cs="Calibri"/>
                <w:b/>
                <w:bCs/>
                <w:sz w:val="22"/>
                <w:szCs w:val="22"/>
              </w:rPr>
              <w:t>Akceptacja</w:t>
            </w:r>
          </w:p>
        </w:tc>
      </w:tr>
      <w:tr w:rsidR="004975E6" w:rsidRPr="00A06425" w14:paraId="5A81D90F" w14:textId="1B9C2756" w:rsidTr="0022019D">
        <w:trPr>
          <w:trHeight w:val="300"/>
        </w:trPr>
        <w:tc>
          <w:tcPr>
            <w:tcW w:w="956" w:type="dxa"/>
            <w:shd w:val="clear" w:color="auto" w:fill="auto"/>
          </w:tcPr>
          <w:p w14:paraId="5CCA5631" w14:textId="4C105B02" w:rsidR="004975E6" w:rsidRPr="0079530D" w:rsidRDefault="0022019D" w:rsidP="0022019D">
            <w:pPr>
              <w:pStyle w:val="Akapitzlist"/>
              <w:ind w:left="284"/>
              <w:rPr>
                <w:rFonts w:asciiTheme="minorHAnsi" w:hAnsiTheme="minorHAnsi" w:cstheme="minorHAnsi"/>
                <w:b/>
                <w:sz w:val="22"/>
                <w:szCs w:val="22"/>
              </w:rPr>
            </w:pPr>
            <w:r>
              <w:rPr>
                <w:rFonts w:asciiTheme="minorHAnsi" w:hAnsiTheme="minorHAnsi" w:cstheme="minorHAnsi"/>
                <w:b/>
                <w:sz w:val="22"/>
                <w:szCs w:val="22"/>
              </w:rPr>
              <w:t>51.</w:t>
            </w:r>
          </w:p>
        </w:tc>
        <w:tc>
          <w:tcPr>
            <w:tcW w:w="1171" w:type="dxa"/>
            <w:shd w:val="clear" w:color="auto" w:fill="auto"/>
          </w:tcPr>
          <w:p w14:paraId="66BD80F8" w14:textId="77777777" w:rsidR="004975E6" w:rsidRPr="00041D6F" w:rsidRDefault="004975E6" w:rsidP="009A0757">
            <w:pPr>
              <w:jc w:val="center"/>
              <w:rPr>
                <w:rFonts w:asciiTheme="minorHAnsi" w:hAnsiTheme="minorHAnsi" w:cstheme="minorHAnsi"/>
                <w:b/>
                <w:sz w:val="22"/>
                <w:szCs w:val="22"/>
              </w:rPr>
            </w:pPr>
            <w:r w:rsidRPr="00041D6F">
              <w:rPr>
                <w:rFonts w:asciiTheme="minorHAnsi" w:hAnsiTheme="minorHAnsi" w:cstheme="minorHAnsi"/>
                <w:b/>
                <w:sz w:val="22"/>
                <w:szCs w:val="22"/>
              </w:rPr>
              <w:t>MSWiA</w:t>
            </w:r>
          </w:p>
          <w:p w14:paraId="59598FDC" w14:textId="119F7C7D" w:rsidR="004975E6" w:rsidRPr="0079530D" w:rsidRDefault="004975E6" w:rsidP="00041D6F">
            <w:pPr>
              <w:rPr>
                <w:rFonts w:asciiTheme="minorHAnsi" w:hAnsiTheme="minorHAnsi" w:cstheme="minorHAnsi"/>
                <w:b/>
                <w:sz w:val="22"/>
                <w:szCs w:val="22"/>
              </w:rPr>
            </w:pPr>
          </w:p>
        </w:tc>
        <w:tc>
          <w:tcPr>
            <w:tcW w:w="1984" w:type="dxa"/>
            <w:shd w:val="clear" w:color="auto" w:fill="auto"/>
          </w:tcPr>
          <w:p w14:paraId="2EC3CCF3" w14:textId="77777777"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 xml:space="preserve">Art. 13 </w:t>
            </w:r>
          </w:p>
          <w:p w14:paraId="5BF0CC1A" w14:textId="289A5E79" w:rsidR="004975E6" w:rsidRPr="0079530D" w:rsidRDefault="004975E6" w:rsidP="00472BFA">
            <w:pPr>
              <w:rPr>
                <w:rFonts w:asciiTheme="minorHAnsi" w:hAnsiTheme="minorHAnsi" w:cstheme="minorHAnsi"/>
                <w:b/>
                <w:bCs/>
                <w:sz w:val="22"/>
                <w:szCs w:val="22"/>
              </w:rPr>
            </w:pPr>
            <w:r w:rsidRPr="0079530D">
              <w:rPr>
                <w:rFonts w:asciiTheme="minorHAnsi" w:hAnsiTheme="minorHAnsi" w:cstheme="minorHAnsi"/>
                <w:b/>
                <w:bCs/>
                <w:sz w:val="22"/>
                <w:szCs w:val="22"/>
              </w:rPr>
              <w:t>OSR pkt 6</w:t>
            </w:r>
          </w:p>
        </w:tc>
        <w:tc>
          <w:tcPr>
            <w:tcW w:w="2977" w:type="dxa"/>
            <w:shd w:val="clear" w:color="auto" w:fill="auto"/>
          </w:tcPr>
          <w:p w14:paraId="4526FEEB" w14:textId="77777777" w:rsidR="004975E6" w:rsidRPr="0079530D" w:rsidRDefault="004975E6" w:rsidP="00472BFA">
            <w:pPr>
              <w:rPr>
                <w:rFonts w:ascii="Calibri" w:hAnsi="Calibri" w:cs="Calibri"/>
                <w:sz w:val="22"/>
                <w:szCs w:val="22"/>
              </w:rPr>
            </w:pPr>
            <w:r w:rsidRPr="0079530D">
              <w:rPr>
                <w:rFonts w:ascii="Calibri" w:hAnsi="Calibri" w:cs="Calibri"/>
                <w:sz w:val="22"/>
                <w:szCs w:val="22"/>
              </w:rPr>
              <w:t xml:space="preserve">W art. 13 projektu ustawy określono maksymalny limit wydatków budżetu państwa na realizację jej przepisów. Jak wynika z pkt 6 OSR do projektu wykazane zwiększone wydatki dotyczące przede wszystkim jednostek rządowych, które będą miały obowiązek dostosowania swoich systemów teleinformatycznych i rejestrów publicznych do obowiązków wynikających z ustawy (konieczność dostosowania w ciągu 36 miesięcy od dnia wejścia w życie ustawy), mają zostać rozdzielone na różne części budżetu państwa. Mając na </w:t>
            </w:r>
            <w:r w:rsidRPr="0079530D">
              <w:rPr>
                <w:rFonts w:ascii="Calibri" w:hAnsi="Calibri" w:cs="Calibri"/>
                <w:sz w:val="22"/>
                <w:szCs w:val="22"/>
              </w:rPr>
              <w:lastRenderedPageBreak/>
              <w:t xml:space="preserve">względzie powyższe niejasne jest w jakich wysokościach nastąpi zwiększenie poszczególnych części budżetowych. </w:t>
            </w:r>
          </w:p>
          <w:p w14:paraId="3FD2F1D7" w14:textId="040E4CFD" w:rsidR="004975E6" w:rsidRPr="0079530D" w:rsidRDefault="004975E6" w:rsidP="00472BFA">
            <w:pPr>
              <w:rPr>
                <w:rFonts w:asciiTheme="minorHAnsi" w:hAnsiTheme="minorHAnsi" w:cstheme="minorHAnsi"/>
                <w:sz w:val="22"/>
                <w:szCs w:val="22"/>
              </w:rPr>
            </w:pPr>
            <w:r w:rsidRPr="0079530D">
              <w:rPr>
                <w:rFonts w:ascii="Calibri" w:hAnsi="Calibri" w:cs="Calibri"/>
                <w:sz w:val="22"/>
                <w:szCs w:val="22"/>
              </w:rPr>
              <w:t>Jak się wydaje w przypadku regulacji obejmującej konieczność finansowania dużej liczby jednostek sektora finansów publicznych ujętych w różnych częściach budżetowych należałoby rozważyć ujęcie środków finansowych m.in. na objęte projektem zadania dostosowania systemów teleinformatycznych i rejestrów publicznych w dedykowanej temu zadaniu rezerwie celowej budżetu państwa. Powyższe uzasadnione jest również faktem, iż koszty dostosowawcze miałyby się zamknąć w trakcie pierwszych czterech lat obowiązywania ustawy, tj. w latach 2025-2028.</w:t>
            </w:r>
          </w:p>
        </w:tc>
        <w:tc>
          <w:tcPr>
            <w:tcW w:w="1984" w:type="dxa"/>
            <w:shd w:val="clear" w:color="auto" w:fill="auto"/>
          </w:tcPr>
          <w:p w14:paraId="1A948A44" w14:textId="77777777" w:rsidR="004975E6" w:rsidRPr="0079530D" w:rsidRDefault="004975E6" w:rsidP="00472BFA">
            <w:pPr>
              <w:rPr>
                <w:rFonts w:asciiTheme="minorHAnsi" w:hAnsiTheme="minorHAnsi" w:cstheme="minorHAnsi"/>
                <w:sz w:val="22"/>
                <w:szCs w:val="22"/>
              </w:rPr>
            </w:pPr>
          </w:p>
        </w:tc>
        <w:tc>
          <w:tcPr>
            <w:tcW w:w="3969" w:type="dxa"/>
          </w:tcPr>
          <w:p w14:paraId="59D48F6E" w14:textId="6D20BC65" w:rsidR="004975E6" w:rsidRPr="0079530D" w:rsidRDefault="004975E6" w:rsidP="00472BFA">
            <w:pPr>
              <w:rPr>
                <w:rFonts w:asciiTheme="minorHAnsi" w:hAnsiTheme="minorHAnsi" w:cstheme="minorHAnsi"/>
                <w:b/>
                <w:sz w:val="22"/>
                <w:szCs w:val="22"/>
              </w:rPr>
            </w:pPr>
            <w:r w:rsidRPr="0079530D">
              <w:rPr>
                <w:rFonts w:asciiTheme="minorHAnsi" w:hAnsiTheme="minorHAnsi" w:cstheme="minorHAnsi"/>
                <w:b/>
                <w:sz w:val="22"/>
                <w:szCs w:val="22"/>
              </w:rPr>
              <w:t>Wyjaśnienie:</w:t>
            </w:r>
          </w:p>
          <w:p w14:paraId="73C5B057" w14:textId="7D631A30" w:rsidR="004975E6" w:rsidRPr="0079530D" w:rsidRDefault="004975E6" w:rsidP="00472BFA">
            <w:pPr>
              <w:rPr>
                <w:rFonts w:asciiTheme="minorHAnsi" w:hAnsiTheme="minorHAnsi" w:cstheme="minorBidi"/>
                <w:sz w:val="22"/>
                <w:szCs w:val="22"/>
              </w:rPr>
            </w:pPr>
            <w:r w:rsidRPr="0079530D">
              <w:rPr>
                <w:rFonts w:asciiTheme="minorHAnsi" w:hAnsiTheme="minorHAnsi" w:cstheme="minorHAnsi"/>
                <w:bCs/>
                <w:sz w:val="22"/>
                <w:szCs w:val="22"/>
              </w:rPr>
              <w:t xml:space="preserve">Jak wskazano wyżej, ze względu na zakres wprowadzanych w projekcie zmian i charakter obowiązków nakładanych na podmioty realizujące zadania publiczne realizacja nowych zadań wymagała będzie zapewnienia finansowania. </w:t>
            </w:r>
            <w:r w:rsidRPr="0079530D">
              <w:rPr>
                <w:rFonts w:asciiTheme="minorHAnsi" w:hAnsiTheme="minorHAnsi" w:cstheme="minorBidi"/>
                <w:sz w:val="22"/>
                <w:szCs w:val="22"/>
              </w:rPr>
              <w:t xml:space="preserve">Realizacja wymagań przewidzianych w projekcie nie była planowana w dotychczasowych budżetach zobowiązanych podmiotów, w związku z tym niezbędne będzie zwiększenie limitów wydatków w poszczególnych częściach budżetowych. </w:t>
            </w:r>
          </w:p>
          <w:p w14:paraId="4F891F47" w14:textId="279DB321" w:rsidR="004975E6" w:rsidRPr="00A06425" w:rsidRDefault="004975E6" w:rsidP="00472BFA">
            <w:pPr>
              <w:rPr>
                <w:rFonts w:asciiTheme="minorHAnsi" w:hAnsiTheme="minorHAnsi" w:cstheme="minorHAnsi"/>
                <w:b/>
                <w:sz w:val="22"/>
                <w:szCs w:val="22"/>
              </w:rPr>
            </w:pPr>
            <w:r w:rsidRPr="0079530D">
              <w:rPr>
                <w:rFonts w:asciiTheme="minorHAnsi" w:hAnsiTheme="minorHAnsi" w:cstheme="minorHAnsi"/>
                <w:bCs/>
                <w:sz w:val="22"/>
                <w:szCs w:val="22"/>
              </w:rPr>
              <w:t>finansowania. Analiza przewidywanych kosztów realizacji zadań przewidzianych w ustawie znajduje się w OSR projektu.</w:t>
            </w:r>
          </w:p>
        </w:tc>
        <w:tc>
          <w:tcPr>
            <w:tcW w:w="2352" w:type="dxa"/>
          </w:tcPr>
          <w:p w14:paraId="4F1F52AC" w14:textId="2130C1C2" w:rsidR="0030070D" w:rsidRPr="0030070D" w:rsidRDefault="0030070D" w:rsidP="00472BFA">
            <w:pPr>
              <w:rPr>
                <w:rFonts w:asciiTheme="minorHAnsi" w:hAnsiTheme="minorHAnsi" w:cstheme="minorHAnsi"/>
                <w:b/>
                <w:sz w:val="22"/>
                <w:szCs w:val="22"/>
              </w:rPr>
            </w:pPr>
            <w:r w:rsidRPr="0030070D">
              <w:rPr>
                <w:rFonts w:asciiTheme="minorHAnsi" w:hAnsiTheme="minorHAnsi" w:cstheme="minorHAnsi"/>
                <w:b/>
                <w:sz w:val="22"/>
                <w:szCs w:val="22"/>
              </w:rPr>
              <w:t>Podtrzymanie uwagi.</w:t>
            </w:r>
          </w:p>
          <w:p w14:paraId="3AF2EA35" w14:textId="77777777" w:rsidR="0030070D" w:rsidRDefault="0030070D" w:rsidP="0030070D">
            <w:pPr>
              <w:rPr>
                <w:rFonts w:asciiTheme="minorHAnsi" w:hAnsiTheme="minorHAnsi" w:cstheme="minorHAnsi"/>
                <w:sz w:val="22"/>
                <w:szCs w:val="22"/>
              </w:rPr>
            </w:pPr>
            <w:r w:rsidRPr="0030070D">
              <w:rPr>
                <w:rFonts w:asciiTheme="minorHAnsi" w:hAnsiTheme="minorHAnsi" w:cstheme="minorHAnsi"/>
                <w:sz w:val="22"/>
                <w:szCs w:val="22"/>
              </w:rPr>
              <w:t xml:space="preserve">Projektodawca nie odniósł się w całości do uwagi, w tym propozycji rozważenia ujęcia środków finansowych m.in. na objęte projektem zadania dostosowania systemów teleinformatycznych i rejestrów publicznych w dedykowanej temu zadaniu rezerwie celowej budżetu państwa. </w:t>
            </w:r>
          </w:p>
          <w:p w14:paraId="509DCF34" w14:textId="140FCB26" w:rsidR="004975E6" w:rsidRPr="0030070D" w:rsidRDefault="0030070D" w:rsidP="0030070D">
            <w:pPr>
              <w:rPr>
                <w:rFonts w:asciiTheme="minorHAnsi" w:hAnsiTheme="minorHAnsi" w:cstheme="minorHAnsi"/>
                <w:sz w:val="22"/>
                <w:szCs w:val="22"/>
              </w:rPr>
            </w:pPr>
            <w:r w:rsidRPr="0030070D">
              <w:rPr>
                <w:rFonts w:asciiTheme="minorHAnsi" w:hAnsiTheme="minorHAnsi" w:cstheme="minorHAnsi"/>
                <w:sz w:val="22"/>
                <w:szCs w:val="22"/>
              </w:rPr>
              <w:t xml:space="preserve">Należałoby jednak wprost w pkt 6 OSR w wierszu „Źródła finansowania” wskazać, </w:t>
            </w:r>
            <w:r w:rsidRPr="0030070D">
              <w:rPr>
                <w:rFonts w:asciiTheme="minorHAnsi" w:hAnsiTheme="minorHAnsi" w:cstheme="minorHAnsi"/>
                <w:sz w:val="22"/>
                <w:szCs w:val="22"/>
              </w:rPr>
              <w:lastRenderedPageBreak/>
              <w:t xml:space="preserve">iż zadania wynikające z projektowanej regulacji będą stanowiły podstawę do zwiększenia limitu wydatków poszczególnych części budżetowych w kwotach ujętych w art. 13 i w tabeli z pkt 6 OSR. Niemniej wątpliwości także budzi, iż zgodnie z art. 13 projektu to minister właściwy do spraw informatyzacji ma monitorować wykorzystanie limitu wydatków, które jak wynika z regulacji  będą umieszczone także w częściach budżetowych, dla których nie jest dysponentem.   </w:t>
            </w:r>
          </w:p>
        </w:tc>
      </w:tr>
    </w:tbl>
    <w:p w14:paraId="6288522E" w14:textId="77777777" w:rsidR="00C64B1B" w:rsidRDefault="00C64B1B" w:rsidP="009F5AF3">
      <w:pPr>
        <w:jc w:val="both"/>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F51AE" w14:textId="77777777" w:rsidR="0022019D" w:rsidRDefault="0022019D" w:rsidP="00910D6A">
      <w:r>
        <w:separator/>
      </w:r>
    </w:p>
  </w:endnote>
  <w:endnote w:type="continuationSeparator" w:id="0">
    <w:p w14:paraId="350F6905" w14:textId="77777777" w:rsidR="0022019D" w:rsidRDefault="0022019D" w:rsidP="00910D6A">
      <w:r>
        <w:continuationSeparator/>
      </w:r>
    </w:p>
  </w:endnote>
  <w:endnote w:type="continuationNotice" w:id="1">
    <w:p w14:paraId="546824D5" w14:textId="77777777" w:rsidR="0022019D" w:rsidRDefault="002201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754AF" w14:textId="77777777" w:rsidR="0022019D" w:rsidRDefault="0022019D" w:rsidP="00910D6A">
      <w:r>
        <w:separator/>
      </w:r>
    </w:p>
  </w:footnote>
  <w:footnote w:type="continuationSeparator" w:id="0">
    <w:p w14:paraId="15F05C60" w14:textId="77777777" w:rsidR="0022019D" w:rsidRDefault="0022019D" w:rsidP="00910D6A">
      <w:r>
        <w:continuationSeparator/>
      </w:r>
    </w:p>
  </w:footnote>
  <w:footnote w:type="continuationNotice" w:id="1">
    <w:p w14:paraId="4A890BFD" w14:textId="77777777" w:rsidR="0022019D" w:rsidRDefault="0022019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A1541"/>
    <w:multiLevelType w:val="hybridMultilevel"/>
    <w:tmpl w:val="33047980"/>
    <w:lvl w:ilvl="0" w:tplc="18888574">
      <w:start w:val="1"/>
      <w:numFmt w:val="decimal"/>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 w15:restartNumberingAfterBreak="0">
    <w:nsid w:val="0FB1AB0F"/>
    <w:multiLevelType w:val="hybridMultilevel"/>
    <w:tmpl w:val="444ED32A"/>
    <w:lvl w:ilvl="0" w:tplc="7598C528">
      <w:start w:val="1"/>
      <w:numFmt w:val="bullet"/>
      <w:lvlText w:val=""/>
      <w:lvlJc w:val="left"/>
      <w:pPr>
        <w:ind w:left="360" w:hanging="360"/>
      </w:pPr>
      <w:rPr>
        <w:rFonts w:ascii="Symbol" w:hAnsi="Symbol" w:hint="default"/>
      </w:rPr>
    </w:lvl>
    <w:lvl w:ilvl="1" w:tplc="0EDEBFFE">
      <w:start w:val="1"/>
      <w:numFmt w:val="bullet"/>
      <w:lvlText w:val="o"/>
      <w:lvlJc w:val="left"/>
      <w:pPr>
        <w:ind w:left="1080" w:hanging="360"/>
      </w:pPr>
      <w:rPr>
        <w:rFonts w:ascii="Courier New" w:hAnsi="Courier New" w:hint="default"/>
      </w:rPr>
    </w:lvl>
    <w:lvl w:ilvl="2" w:tplc="F1DC4BE6">
      <w:start w:val="1"/>
      <w:numFmt w:val="bullet"/>
      <w:lvlText w:val=""/>
      <w:lvlJc w:val="left"/>
      <w:pPr>
        <w:ind w:left="1800" w:hanging="360"/>
      </w:pPr>
      <w:rPr>
        <w:rFonts w:ascii="Wingdings" w:hAnsi="Wingdings" w:hint="default"/>
      </w:rPr>
    </w:lvl>
    <w:lvl w:ilvl="3" w:tplc="4846FDAA">
      <w:start w:val="1"/>
      <w:numFmt w:val="bullet"/>
      <w:lvlText w:val=""/>
      <w:lvlJc w:val="left"/>
      <w:pPr>
        <w:ind w:left="2520" w:hanging="360"/>
      </w:pPr>
      <w:rPr>
        <w:rFonts w:ascii="Symbol" w:hAnsi="Symbol" w:hint="default"/>
      </w:rPr>
    </w:lvl>
    <w:lvl w:ilvl="4" w:tplc="00447CE8">
      <w:start w:val="1"/>
      <w:numFmt w:val="bullet"/>
      <w:lvlText w:val="o"/>
      <w:lvlJc w:val="left"/>
      <w:pPr>
        <w:ind w:left="3240" w:hanging="360"/>
      </w:pPr>
      <w:rPr>
        <w:rFonts w:ascii="Courier New" w:hAnsi="Courier New" w:hint="default"/>
      </w:rPr>
    </w:lvl>
    <w:lvl w:ilvl="5" w:tplc="46F80D0A">
      <w:start w:val="1"/>
      <w:numFmt w:val="bullet"/>
      <w:lvlText w:val=""/>
      <w:lvlJc w:val="left"/>
      <w:pPr>
        <w:ind w:left="3960" w:hanging="360"/>
      </w:pPr>
      <w:rPr>
        <w:rFonts w:ascii="Wingdings" w:hAnsi="Wingdings" w:hint="default"/>
      </w:rPr>
    </w:lvl>
    <w:lvl w:ilvl="6" w:tplc="9B00CECC">
      <w:start w:val="1"/>
      <w:numFmt w:val="bullet"/>
      <w:lvlText w:val=""/>
      <w:lvlJc w:val="left"/>
      <w:pPr>
        <w:ind w:left="4680" w:hanging="360"/>
      </w:pPr>
      <w:rPr>
        <w:rFonts w:ascii="Symbol" w:hAnsi="Symbol" w:hint="default"/>
      </w:rPr>
    </w:lvl>
    <w:lvl w:ilvl="7" w:tplc="050C1F14">
      <w:start w:val="1"/>
      <w:numFmt w:val="bullet"/>
      <w:lvlText w:val="o"/>
      <w:lvlJc w:val="left"/>
      <w:pPr>
        <w:ind w:left="5400" w:hanging="360"/>
      </w:pPr>
      <w:rPr>
        <w:rFonts w:ascii="Courier New" w:hAnsi="Courier New" w:hint="default"/>
      </w:rPr>
    </w:lvl>
    <w:lvl w:ilvl="8" w:tplc="8C588F26">
      <w:start w:val="1"/>
      <w:numFmt w:val="bullet"/>
      <w:lvlText w:val=""/>
      <w:lvlJc w:val="left"/>
      <w:pPr>
        <w:ind w:left="6120" w:hanging="360"/>
      </w:pPr>
      <w:rPr>
        <w:rFonts w:ascii="Wingdings" w:hAnsi="Wingdings" w:hint="default"/>
      </w:rPr>
    </w:lvl>
  </w:abstractNum>
  <w:abstractNum w:abstractNumId="2" w15:restartNumberingAfterBreak="0">
    <w:nsid w:val="11691C75"/>
    <w:multiLevelType w:val="hybridMultilevel"/>
    <w:tmpl w:val="064A8B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D358A"/>
    <w:multiLevelType w:val="hybridMultilevel"/>
    <w:tmpl w:val="58BCBBC8"/>
    <w:lvl w:ilvl="0" w:tplc="83E8C5D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 w15:restartNumberingAfterBreak="0">
    <w:nsid w:val="2148748A"/>
    <w:multiLevelType w:val="hybridMultilevel"/>
    <w:tmpl w:val="3482D79C"/>
    <w:lvl w:ilvl="0" w:tplc="E4624A88">
      <w:start w:val="1"/>
      <w:numFmt w:val="decimal"/>
      <w:lvlText w:val="%1."/>
      <w:lvlJc w:val="right"/>
      <w:pPr>
        <w:ind w:left="1559" w:hanging="360"/>
      </w:pPr>
      <w:rPr>
        <w:rFonts w:hint="default"/>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5" w15:restartNumberingAfterBreak="0">
    <w:nsid w:val="2D1F492F"/>
    <w:multiLevelType w:val="multilevel"/>
    <w:tmpl w:val="B2B44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EA21EF"/>
    <w:multiLevelType w:val="hybridMultilevel"/>
    <w:tmpl w:val="146E15EA"/>
    <w:lvl w:ilvl="0" w:tplc="36D638FE">
      <w:start w:val="1"/>
      <w:numFmt w:val="decimal"/>
      <w:lvlText w:val="%1)"/>
      <w:lvlJc w:val="left"/>
      <w:pPr>
        <w:ind w:left="1020" w:hanging="360"/>
      </w:pPr>
    </w:lvl>
    <w:lvl w:ilvl="1" w:tplc="F5A204B8">
      <w:start w:val="1"/>
      <w:numFmt w:val="decimal"/>
      <w:lvlText w:val="%2)"/>
      <w:lvlJc w:val="left"/>
      <w:pPr>
        <w:ind w:left="1020" w:hanging="360"/>
      </w:pPr>
    </w:lvl>
    <w:lvl w:ilvl="2" w:tplc="85047C74">
      <w:start w:val="1"/>
      <w:numFmt w:val="decimal"/>
      <w:lvlText w:val="%3)"/>
      <w:lvlJc w:val="left"/>
      <w:pPr>
        <w:ind w:left="1020" w:hanging="360"/>
      </w:pPr>
    </w:lvl>
    <w:lvl w:ilvl="3" w:tplc="DCE86680">
      <w:start w:val="1"/>
      <w:numFmt w:val="decimal"/>
      <w:lvlText w:val="%4)"/>
      <w:lvlJc w:val="left"/>
      <w:pPr>
        <w:ind w:left="1020" w:hanging="360"/>
      </w:pPr>
    </w:lvl>
    <w:lvl w:ilvl="4" w:tplc="BC604D06">
      <w:start w:val="1"/>
      <w:numFmt w:val="decimal"/>
      <w:lvlText w:val="%5)"/>
      <w:lvlJc w:val="left"/>
      <w:pPr>
        <w:ind w:left="1020" w:hanging="360"/>
      </w:pPr>
    </w:lvl>
    <w:lvl w:ilvl="5" w:tplc="7138E9B8">
      <w:start w:val="1"/>
      <w:numFmt w:val="decimal"/>
      <w:lvlText w:val="%6)"/>
      <w:lvlJc w:val="left"/>
      <w:pPr>
        <w:ind w:left="1020" w:hanging="360"/>
      </w:pPr>
    </w:lvl>
    <w:lvl w:ilvl="6" w:tplc="FC8E8924">
      <w:start w:val="1"/>
      <w:numFmt w:val="decimal"/>
      <w:lvlText w:val="%7)"/>
      <w:lvlJc w:val="left"/>
      <w:pPr>
        <w:ind w:left="1020" w:hanging="360"/>
      </w:pPr>
    </w:lvl>
    <w:lvl w:ilvl="7" w:tplc="CDAE4980">
      <w:start w:val="1"/>
      <w:numFmt w:val="decimal"/>
      <w:lvlText w:val="%8)"/>
      <w:lvlJc w:val="left"/>
      <w:pPr>
        <w:ind w:left="1020" w:hanging="360"/>
      </w:pPr>
    </w:lvl>
    <w:lvl w:ilvl="8" w:tplc="37F40320">
      <w:start w:val="1"/>
      <w:numFmt w:val="decimal"/>
      <w:lvlText w:val="%9)"/>
      <w:lvlJc w:val="left"/>
      <w:pPr>
        <w:ind w:left="1020" w:hanging="360"/>
      </w:pPr>
    </w:lvl>
  </w:abstractNum>
  <w:abstractNum w:abstractNumId="7" w15:restartNumberingAfterBreak="0">
    <w:nsid w:val="3D150D04"/>
    <w:multiLevelType w:val="hybridMultilevel"/>
    <w:tmpl w:val="33047980"/>
    <w:lvl w:ilvl="0" w:tplc="FFFFFFFF">
      <w:start w:val="1"/>
      <w:numFmt w:val="decimal"/>
      <w:lvlText w:val="%1)"/>
      <w:lvlJc w:val="left"/>
      <w:pPr>
        <w:ind w:left="870" w:hanging="360"/>
      </w:pPr>
      <w:rPr>
        <w:rFonts w:hint="default"/>
      </w:r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8" w15:restartNumberingAfterBreak="0">
    <w:nsid w:val="46B2674A"/>
    <w:multiLevelType w:val="hybridMultilevel"/>
    <w:tmpl w:val="BA2CAE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057911"/>
    <w:multiLevelType w:val="hybridMultilevel"/>
    <w:tmpl w:val="5C50FB12"/>
    <w:lvl w:ilvl="0" w:tplc="04150011">
      <w:start w:val="1"/>
      <w:numFmt w:val="decimal"/>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 w15:restartNumberingAfterBreak="0">
    <w:nsid w:val="5525D059"/>
    <w:multiLevelType w:val="hybridMultilevel"/>
    <w:tmpl w:val="F5C87AE0"/>
    <w:lvl w:ilvl="0" w:tplc="46FA4C60">
      <w:start w:val="1"/>
      <w:numFmt w:val="bullet"/>
      <w:lvlText w:val=""/>
      <w:lvlJc w:val="left"/>
      <w:pPr>
        <w:ind w:left="360" w:hanging="360"/>
      </w:pPr>
      <w:rPr>
        <w:rFonts w:ascii="Symbol" w:hAnsi="Symbol" w:hint="default"/>
      </w:rPr>
    </w:lvl>
    <w:lvl w:ilvl="1" w:tplc="4C445C10">
      <w:start w:val="1"/>
      <w:numFmt w:val="bullet"/>
      <w:lvlText w:val="o"/>
      <w:lvlJc w:val="left"/>
      <w:pPr>
        <w:ind w:left="1080" w:hanging="360"/>
      </w:pPr>
      <w:rPr>
        <w:rFonts w:ascii="Courier New" w:hAnsi="Courier New" w:hint="default"/>
      </w:rPr>
    </w:lvl>
    <w:lvl w:ilvl="2" w:tplc="612063E4">
      <w:start w:val="1"/>
      <w:numFmt w:val="bullet"/>
      <w:lvlText w:val=""/>
      <w:lvlJc w:val="left"/>
      <w:pPr>
        <w:ind w:left="1800" w:hanging="360"/>
      </w:pPr>
      <w:rPr>
        <w:rFonts w:ascii="Wingdings" w:hAnsi="Wingdings" w:hint="default"/>
      </w:rPr>
    </w:lvl>
    <w:lvl w:ilvl="3" w:tplc="AF18BF34">
      <w:start w:val="1"/>
      <w:numFmt w:val="bullet"/>
      <w:lvlText w:val=""/>
      <w:lvlJc w:val="left"/>
      <w:pPr>
        <w:ind w:left="2520" w:hanging="360"/>
      </w:pPr>
      <w:rPr>
        <w:rFonts w:ascii="Symbol" w:hAnsi="Symbol" w:hint="default"/>
      </w:rPr>
    </w:lvl>
    <w:lvl w:ilvl="4" w:tplc="A3D829E2">
      <w:start w:val="1"/>
      <w:numFmt w:val="bullet"/>
      <w:lvlText w:val="o"/>
      <w:lvlJc w:val="left"/>
      <w:pPr>
        <w:ind w:left="3240" w:hanging="360"/>
      </w:pPr>
      <w:rPr>
        <w:rFonts w:ascii="Courier New" w:hAnsi="Courier New" w:hint="default"/>
      </w:rPr>
    </w:lvl>
    <w:lvl w:ilvl="5" w:tplc="40AA0FAE">
      <w:start w:val="1"/>
      <w:numFmt w:val="bullet"/>
      <w:lvlText w:val=""/>
      <w:lvlJc w:val="left"/>
      <w:pPr>
        <w:ind w:left="3960" w:hanging="360"/>
      </w:pPr>
      <w:rPr>
        <w:rFonts w:ascii="Wingdings" w:hAnsi="Wingdings" w:hint="default"/>
      </w:rPr>
    </w:lvl>
    <w:lvl w:ilvl="6" w:tplc="06901264">
      <w:start w:val="1"/>
      <w:numFmt w:val="bullet"/>
      <w:lvlText w:val=""/>
      <w:lvlJc w:val="left"/>
      <w:pPr>
        <w:ind w:left="4680" w:hanging="360"/>
      </w:pPr>
      <w:rPr>
        <w:rFonts w:ascii="Symbol" w:hAnsi="Symbol" w:hint="default"/>
      </w:rPr>
    </w:lvl>
    <w:lvl w:ilvl="7" w:tplc="EFBE00A2">
      <w:start w:val="1"/>
      <w:numFmt w:val="bullet"/>
      <w:lvlText w:val="o"/>
      <w:lvlJc w:val="left"/>
      <w:pPr>
        <w:ind w:left="5400" w:hanging="360"/>
      </w:pPr>
      <w:rPr>
        <w:rFonts w:ascii="Courier New" w:hAnsi="Courier New" w:hint="default"/>
      </w:rPr>
    </w:lvl>
    <w:lvl w:ilvl="8" w:tplc="B7FCDEC8">
      <w:start w:val="1"/>
      <w:numFmt w:val="bullet"/>
      <w:lvlText w:val=""/>
      <w:lvlJc w:val="left"/>
      <w:pPr>
        <w:ind w:left="6120" w:hanging="360"/>
      </w:pPr>
      <w:rPr>
        <w:rFonts w:ascii="Wingdings" w:hAnsi="Wingdings" w:hint="default"/>
      </w:rPr>
    </w:lvl>
  </w:abstractNum>
  <w:abstractNum w:abstractNumId="11" w15:restartNumberingAfterBreak="0">
    <w:nsid w:val="65CD34AF"/>
    <w:multiLevelType w:val="hybridMultilevel"/>
    <w:tmpl w:val="D3DAC962"/>
    <w:lvl w:ilvl="0" w:tplc="499445D0">
      <w:start w:val="1"/>
      <w:numFmt w:val="decimal"/>
      <w:lvlText w:val="%1)"/>
      <w:lvlJc w:val="left"/>
      <w:pPr>
        <w:ind w:left="1020" w:hanging="360"/>
      </w:pPr>
    </w:lvl>
    <w:lvl w:ilvl="1" w:tplc="A548426A">
      <w:start w:val="1"/>
      <w:numFmt w:val="decimal"/>
      <w:lvlText w:val="%2)"/>
      <w:lvlJc w:val="left"/>
      <w:pPr>
        <w:ind w:left="1020" w:hanging="360"/>
      </w:pPr>
    </w:lvl>
    <w:lvl w:ilvl="2" w:tplc="3440E854">
      <w:start w:val="1"/>
      <w:numFmt w:val="decimal"/>
      <w:lvlText w:val="%3)"/>
      <w:lvlJc w:val="left"/>
      <w:pPr>
        <w:ind w:left="1020" w:hanging="360"/>
      </w:pPr>
    </w:lvl>
    <w:lvl w:ilvl="3" w:tplc="7D5A4FCA">
      <w:start w:val="1"/>
      <w:numFmt w:val="decimal"/>
      <w:lvlText w:val="%4)"/>
      <w:lvlJc w:val="left"/>
      <w:pPr>
        <w:ind w:left="1020" w:hanging="360"/>
      </w:pPr>
    </w:lvl>
    <w:lvl w:ilvl="4" w:tplc="5E6E277E">
      <w:start w:val="1"/>
      <w:numFmt w:val="decimal"/>
      <w:lvlText w:val="%5)"/>
      <w:lvlJc w:val="left"/>
      <w:pPr>
        <w:ind w:left="1020" w:hanging="360"/>
      </w:pPr>
    </w:lvl>
    <w:lvl w:ilvl="5" w:tplc="90F2365A">
      <w:start w:val="1"/>
      <w:numFmt w:val="decimal"/>
      <w:lvlText w:val="%6)"/>
      <w:lvlJc w:val="left"/>
      <w:pPr>
        <w:ind w:left="1020" w:hanging="360"/>
      </w:pPr>
    </w:lvl>
    <w:lvl w:ilvl="6" w:tplc="84EEFFC0">
      <w:start w:val="1"/>
      <w:numFmt w:val="decimal"/>
      <w:lvlText w:val="%7)"/>
      <w:lvlJc w:val="left"/>
      <w:pPr>
        <w:ind w:left="1020" w:hanging="360"/>
      </w:pPr>
    </w:lvl>
    <w:lvl w:ilvl="7" w:tplc="FADEBF1C">
      <w:start w:val="1"/>
      <w:numFmt w:val="decimal"/>
      <w:lvlText w:val="%8)"/>
      <w:lvlJc w:val="left"/>
      <w:pPr>
        <w:ind w:left="1020" w:hanging="360"/>
      </w:pPr>
    </w:lvl>
    <w:lvl w:ilvl="8" w:tplc="22EAC92A">
      <w:start w:val="1"/>
      <w:numFmt w:val="decimal"/>
      <w:lvlText w:val="%9)"/>
      <w:lvlJc w:val="left"/>
      <w:pPr>
        <w:ind w:left="1020" w:hanging="360"/>
      </w:pPr>
    </w:lvl>
  </w:abstractNum>
  <w:abstractNum w:abstractNumId="12" w15:restartNumberingAfterBreak="0">
    <w:nsid w:val="69D90912"/>
    <w:multiLevelType w:val="hybridMultilevel"/>
    <w:tmpl w:val="58BCBBC8"/>
    <w:lvl w:ilvl="0" w:tplc="FFFFFFFF">
      <w:start w:val="1"/>
      <w:numFmt w:val="decimal"/>
      <w:lvlText w:val="%1)"/>
      <w:lvlJc w:val="left"/>
      <w:pPr>
        <w:ind w:left="870" w:hanging="360"/>
      </w:pPr>
      <w:rPr>
        <w:rFonts w:hint="default"/>
      </w:r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13" w15:restartNumberingAfterBreak="0">
    <w:nsid w:val="6EAC7E77"/>
    <w:multiLevelType w:val="hybridMultilevel"/>
    <w:tmpl w:val="C0A03952"/>
    <w:lvl w:ilvl="0" w:tplc="48C66A2E">
      <w:start w:val="1"/>
      <w:numFmt w:val="decimal"/>
      <w:lvlText w:val="%1)"/>
      <w:lvlJc w:val="left"/>
      <w:pPr>
        <w:ind w:left="1020" w:hanging="360"/>
      </w:pPr>
    </w:lvl>
    <w:lvl w:ilvl="1" w:tplc="E32481E8">
      <w:start w:val="1"/>
      <w:numFmt w:val="decimal"/>
      <w:lvlText w:val="%2)"/>
      <w:lvlJc w:val="left"/>
      <w:pPr>
        <w:ind w:left="1020" w:hanging="360"/>
      </w:pPr>
    </w:lvl>
    <w:lvl w:ilvl="2" w:tplc="02B4F744">
      <w:start w:val="1"/>
      <w:numFmt w:val="decimal"/>
      <w:lvlText w:val="%3)"/>
      <w:lvlJc w:val="left"/>
      <w:pPr>
        <w:ind w:left="1020" w:hanging="360"/>
      </w:pPr>
    </w:lvl>
    <w:lvl w:ilvl="3" w:tplc="7AB60C36">
      <w:start w:val="1"/>
      <w:numFmt w:val="decimal"/>
      <w:lvlText w:val="%4)"/>
      <w:lvlJc w:val="left"/>
      <w:pPr>
        <w:ind w:left="1020" w:hanging="360"/>
      </w:pPr>
    </w:lvl>
    <w:lvl w:ilvl="4" w:tplc="DE6A172E">
      <w:start w:val="1"/>
      <w:numFmt w:val="decimal"/>
      <w:lvlText w:val="%5)"/>
      <w:lvlJc w:val="left"/>
      <w:pPr>
        <w:ind w:left="1020" w:hanging="360"/>
      </w:pPr>
    </w:lvl>
    <w:lvl w:ilvl="5" w:tplc="BB62564A">
      <w:start w:val="1"/>
      <w:numFmt w:val="decimal"/>
      <w:lvlText w:val="%6)"/>
      <w:lvlJc w:val="left"/>
      <w:pPr>
        <w:ind w:left="1020" w:hanging="360"/>
      </w:pPr>
    </w:lvl>
    <w:lvl w:ilvl="6" w:tplc="AE3A7260">
      <w:start w:val="1"/>
      <w:numFmt w:val="decimal"/>
      <w:lvlText w:val="%7)"/>
      <w:lvlJc w:val="left"/>
      <w:pPr>
        <w:ind w:left="1020" w:hanging="360"/>
      </w:pPr>
    </w:lvl>
    <w:lvl w:ilvl="7" w:tplc="616E34BA">
      <w:start w:val="1"/>
      <w:numFmt w:val="decimal"/>
      <w:lvlText w:val="%8)"/>
      <w:lvlJc w:val="left"/>
      <w:pPr>
        <w:ind w:left="1020" w:hanging="360"/>
      </w:pPr>
    </w:lvl>
    <w:lvl w:ilvl="8" w:tplc="4754E772">
      <w:start w:val="1"/>
      <w:numFmt w:val="decimal"/>
      <w:lvlText w:val="%9)"/>
      <w:lvlJc w:val="left"/>
      <w:pPr>
        <w:ind w:left="1020" w:hanging="360"/>
      </w:pPr>
    </w:lvl>
  </w:abstractNum>
  <w:abstractNum w:abstractNumId="14" w15:restartNumberingAfterBreak="0">
    <w:nsid w:val="70380E7B"/>
    <w:multiLevelType w:val="hybridMultilevel"/>
    <w:tmpl w:val="FFFFFFFF"/>
    <w:lvl w:ilvl="0" w:tplc="5A9805EC">
      <w:start w:val="1"/>
      <w:numFmt w:val="decimal"/>
      <w:lvlText w:val="%1."/>
      <w:lvlJc w:val="left"/>
      <w:pPr>
        <w:ind w:left="360" w:hanging="360"/>
      </w:pPr>
    </w:lvl>
    <w:lvl w:ilvl="1" w:tplc="7D3CEBFA">
      <w:start w:val="1"/>
      <w:numFmt w:val="lowerLetter"/>
      <w:lvlText w:val="%2."/>
      <w:lvlJc w:val="left"/>
      <w:pPr>
        <w:ind w:left="1080" w:hanging="360"/>
      </w:pPr>
    </w:lvl>
    <w:lvl w:ilvl="2" w:tplc="6FB04D72">
      <w:start w:val="1"/>
      <w:numFmt w:val="lowerRoman"/>
      <w:lvlText w:val="%3."/>
      <w:lvlJc w:val="right"/>
      <w:pPr>
        <w:ind w:left="1800" w:hanging="180"/>
      </w:pPr>
    </w:lvl>
    <w:lvl w:ilvl="3" w:tplc="6C5EE62E">
      <w:start w:val="1"/>
      <w:numFmt w:val="decimal"/>
      <w:lvlText w:val="%4."/>
      <w:lvlJc w:val="left"/>
      <w:pPr>
        <w:ind w:left="2520" w:hanging="360"/>
      </w:pPr>
    </w:lvl>
    <w:lvl w:ilvl="4" w:tplc="34A4D9D6">
      <w:start w:val="1"/>
      <w:numFmt w:val="lowerLetter"/>
      <w:lvlText w:val="%5."/>
      <w:lvlJc w:val="left"/>
      <w:pPr>
        <w:ind w:left="3240" w:hanging="360"/>
      </w:pPr>
    </w:lvl>
    <w:lvl w:ilvl="5" w:tplc="738E84DE">
      <w:start w:val="1"/>
      <w:numFmt w:val="lowerRoman"/>
      <w:lvlText w:val="%6."/>
      <w:lvlJc w:val="right"/>
      <w:pPr>
        <w:ind w:left="3960" w:hanging="180"/>
      </w:pPr>
    </w:lvl>
    <w:lvl w:ilvl="6" w:tplc="DFB81A32">
      <w:start w:val="1"/>
      <w:numFmt w:val="decimal"/>
      <w:lvlText w:val="%7."/>
      <w:lvlJc w:val="left"/>
      <w:pPr>
        <w:ind w:left="4680" w:hanging="360"/>
      </w:pPr>
    </w:lvl>
    <w:lvl w:ilvl="7" w:tplc="532AE480">
      <w:start w:val="1"/>
      <w:numFmt w:val="lowerLetter"/>
      <w:lvlText w:val="%8."/>
      <w:lvlJc w:val="left"/>
      <w:pPr>
        <w:ind w:left="5400" w:hanging="360"/>
      </w:pPr>
    </w:lvl>
    <w:lvl w:ilvl="8" w:tplc="95CC1D54">
      <w:start w:val="1"/>
      <w:numFmt w:val="lowerRoman"/>
      <w:lvlText w:val="%9."/>
      <w:lvlJc w:val="right"/>
      <w:pPr>
        <w:ind w:left="6120" w:hanging="180"/>
      </w:pPr>
    </w:lvl>
  </w:abstractNum>
  <w:abstractNum w:abstractNumId="15" w15:restartNumberingAfterBreak="0">
    <w:nsid w:val="747676E2"/>
    <w:multiLevelType w:val="hybridMultilevel"/>
    <w:tmpl w:val="E65885A8"/>
    <w:lvl w:ilvl="0" w:tplc="DFF0B314">
      <w:start w:val="1"/>
      <w:numFmt w:val="bullet"/>
      <w:lvlText w:val=""/>
      <w:lvlJc w:val="left"/>
      <w:pPr>
        <w:ind w:left="360" w:hanging="360"/>
      </w:pPr>
      <w:rPr>
        <w:rFonts w:ascii="Symbol" w:hAnsi="Symbol" w:hint="default"/>
      </w:rPr>
    </w:lvl>
    <w:lvl w:ilvl="1" w:tplc="B094B2BA">
      <w:start w:val="1"/>
      <w:numFmt w:val="bullet"/>
      <w:lvlText w:val="o"/>
      <w:lvlJc w:val="left"/>
      <w:pPr>
        <w:ind w:left="1080" w:hanging="360"/>
      </w:pPr>
      <w:rPr>
        <w:rFonts w:ascii="Courier New" w:hAnsi="Courier New" w:hint="default"/>
      </w:rPr>
    </w:lvl>
    <w:lvl w:ilvl="2" w:tplc="234A4DC4">
      <w:start w:val="1"/>
      <w:numFmt w:val="bullet"/>
      <w:lvlText w:val=""/>
      <w:lvlJc w:val="left"/>
      <w:pPr>
        <w:ind w:left="1800" w:hanging="360"/>
      </w:pPr>
      <w:rPr>
        <w:rFonts w:ascii="Wingdings" w:hAnsi="Wingdings" w:hint="default"/>
      </w:rPr>
    </w:lvl>
    <w:lvl w:ilvl="3" w:tplc="B77C8094">
      <w:start w:val="1"/>
      <w:numFmt w:val="bullet"/>
      <w:lvlText w:val=""/>
      <w:lvlJc w:val="left"/>
      <w:pPr>
        <w:ind w:left="2520" w:hanging="360"/>
      </w:pPr>
      <w:rPr>
        <w:rFonts w:ascii="Symbol" w:hAnsi="Symbol" w:hint="default"/>
      </w:rPr>
    </w:lvl>
    <w:lvl w:ilvl="4" w:tplc="367E0EE0">
      <w:start w:val="1"/>
      <w:numFmt w:val="bullet"/>
      <w:lvlText w:val="o"/>
      <w:lvlJc w:val="left"/>
      <w:pPr>
        <w:ind w:left="3240" w:hanging="360"/>
      </w:pPr>
      <w:rPr>
        <w:rFonts w:ascii="Courier New" w:hAnsi="Courier New" w:hint="default"/>
      </w:rPr>
    </w:lvl>
    <w:lvl w:ilvl="5" w:tplc="15CEEA42">
      <w:start w:val="1"/>
      <w:numFmt w:val="bullet"/>
      <w:lvlText w:val=""/>
      <w:lvlJc w:val="left"/>
      <w:pPr>
        <w:ind w:left="3960" w:hanging="360"/>
      </w:pPr>
      <w:rPr>
        <w:rFonts w:ascii="Wingdings" w:hAnsi="Wingdings" w:hint="default"/>
      </w:rPr>
    </w:lvl>
    <w:lvl w:ilvl="6" w:tplc="6988E33C">
      <w:start w:val="1"/>
      <w:numFmt w:val="bullet"/>
      <w:lvlText w:val=""/>
      <w:lvlJc w:val="left"/>
      <w:pPr>
        <w:ind w:left="4680" w:hanging="360"/>
      </w:pPr>
      <w:rPr>
        <w:rFonts w:ascii="Symbol" w:hAnsi="Symbol" w:hint="default"/>
      </w:rPr>
    </w:lvl>
    <w:lvl w:ilvl="7" w:tplc="F5A437D2">
      <w:start w:val="1"/>
      <w:numFmt w:val="bullet"/>
      <w:lvlText w:val="o"/>
      <w:lvlJc w:val="left"/>
      <w:pPr>
        <w:ind w:left="5400" w:hanging="360"/>
      </w:pPr>
      <w:rPr>
        <w:rFonts w:ascii="Courier New" w:hAnsi="Courier New" w:hint="default"/>
      </w:rPr>
    </w:lvl>
    <w:lvl w:ilvl="8" w:tplc="CACA6074">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15"/>
  </w:num>
  <w:num w:numId="4">
    <w:abstractNumId w:val="14"/>
  </w:num>
  <w:num w:numId="5">
    <w:abstractNumId w:val="10"/>
  </w:num>
  <w:num w:numId="6">
    <w:abstractNumId w:val="1"/>
  </w:num>
  <w:num w:numId="7">
    <w:abstractNumId w:val="3"/>
  </w:num>
  <w:num w:numId="8">
    <w:abstractNumId w:val="12"/>
  </w:num>
  <w:num w:numId="9">
    <w:abstractNumId w:val="0"/>
  </w:num>
  <w:num w:numId="10">
    <w:abstractNumId w:val="7"/>
  </w:num>
  <w:num w:numId="11">
    <w:abstractNumId w:val="5"/>
  </w:num>
  <w:num w:numId="12">
    <w:abstractNumId w:val="2"/>
  </w:num>
  <w:num w:numId="13">
    <w:abstractNumId w:val="9"/>
  </w:num>
  <w:num w:numId="14">
    <w:abstractNumId w:val="6"/>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1154"/>
    <w:rsid w:val="0000143D"/>
    <w:rsid w:val="00001A18"/>
    <w:rsid w:val="00002F0C"/>
    <w:rsid w:val="00003003"/>
    <w:rsid w:val="000041DE"/>
    <w:rsid w:val="000056F8"/>
    <w:rsid w:val="0000634A"/>
    <w:rsid w:val="000073D7"/>
    <w:rsid w:val="000078CB"/>
    <w:rsid w:val="00010A09"/>
    <w:rsid w:val="00011EF6"/>
    <w:rsid w:val="0001322A"/>
    <w:rsid w:val="00013956"/>
    <w:rsid w:val="00014DFF"/>
    <w:rsid w:val="00016A71"/>
    <w:rsid w:val="00016AA5"/>
    <w:rsid w:val="00017870"/>
    <w:rsid w:val="00024A20"/>
    <w:rsid w:val="0002507A"/>
    <w:rsid w:val="00025F5E"/>
    <w:rsid w:val="00026B92"/>
    <w:rsid w:val="000271B1"/>
    <w:rsid w:val="000275D1"/>
    <w:rsid w:val="00031CE4"/>
    <w:rsid w:val="000331E8"/>
    <w:rsid w:val="00034258"/>
    <w:rsid w:val="000344C7"/>
    <w:rsid w:val="000355B9"/>
    <w:rsid w:val="0003671D"/>
    <w:rsid w:val="00040A10"/>
    <w:rsid w:val="00041D6F"/>
    <w:rsid w:val="00042205"/>
    <w:rsid w:val="00042759"/>
    <w:rsid w:val="000435E6"/>
    <w:rsid w:val="00043B63"/>
    <w:rsid w:val="00044811"/>
    <w:rsid w:val="00051D14"/>
    <w:rsid w:val="0005316A"/>
    <w:rsid w:val="00054099"/>
    <w:rsid w:val="00054731"/>
    <w:rsid w:val="000547E2"/>
    <w:rsid w:val="00055C3C"/>
    <w:rsid w:val="000567B9"/>
    <w:rsid w:val="000571A7"/>
    <w:rsid w:val="000574A0"/>
    <w:rsid w:val="000604CF"/>
    <w:rsid w:val="00060A05"/>
    <w:rsid w:val="00060A7D"/>
    <w:rsid w:val="00061347"/>
    <w:rsid w:val="000616CC"/>
    <w:rsid w:val="0006216B"/>
    <w:rsid w:val="00062DFB"/>
    <w:rsid w:val="0006327E"/>
    <w:rsid w:val="00063A97"/>
    <w:rsid w:val="000644B9"/>
    <w:rsid w:val="00064629"/>
    <w:rsid w:val="000649DF"/>
    <w:rsid w:val="00064F2D"/>
    <w:rsid w:val="00070738"/>
    <w:rsid w:val="00071003"/>
    <w:rsid w:val="00071726"/>
    <w:rsid w:val="00071D0A"/>
    <w:rsid w:val="00071D2B"/>
    <w:rsid w:val="0007391B"/>
    <w:rsid w:val="00073C65"/>
    <w:rsid w:val="000749FD"/>
    <w:rsid w:val="00075CB7"/>
    <w:rsid w:val="00083751"/>
    <w:rsid w:val="000841C2"/>
    <w:rsid w:val="00084E1B"/>
    <w:rsid w:val="0008697E"/>
    <w:rsid w:val="00086A2D"/>
    <w:rsid w:val="00092CCA"/>
    <w:rsid w:val="000951EA"/>
    <w:rsid w:val="000955C2"/>
    <w:rsid w:val="000965EB"/>
    <w:rsid w:val="0009675A"/>
    <w:rsid w:val="00096F18"/>
    <w:rsid w:val="000A1EF5"/>
    <w:rsid w:val="000A309D"/>
    <w:rsid w:val="000A319A"/>
    <w:rsid w:val="000A360C"/>
    <w:rsid w:val="000A4D86"/>
    <w:rsid w:val="000A7458"/>
    <w:rsid w:val="000B1C6E"/>
    <w:rsid w:val="000B3840"/>
    <w:rsid w:val="000B3843"/>
    <w:rsid w:val="000B55B5"/>
    <w:rsid w:val="000B5B44"/>
    <w:rsid w:val="000B723F"/>
    <w:rsid w:val="000C165E"/>
    <w:rsid w:val="000C2A0F"/>
    <w:rsid w:val="000C4FF4"/>
    <w:rsid w:val="000C5201"/>
    <w:rsid w:val="000C5335"/>
    <w:rsid w:val="000C64F8"/>
    <w:rsid w:val="000C6566"/>
    <w:rsid w:val="000D1CDA"/>
    <w:rsid w:val="000D2A7C"/>
    <w:rsid w:val="000D2ED7"/>
    <w:rsid w:val="000D384C"/>
    <w:rsid w:val="000D53FB"/>
    <w:rsid w:val="000D5ED5"/>
    <w:rsid w:val="000D6172"/>
    <w:rsid w:val="000D64A4"/>
    <w:rsid w:val="000D7978"/>
    <w:rsid w:val="000E02D9"/>
    <w:rsid w:val="000E50FE"/>
    <w:rsid w:val="000E626E"/>
    <w:rsid w:val="000E691A"/>
    <w:rsid w:val="000F0D15"/>
    <w:rsid w:val="000F3345"/>
    <w:rsid w:val="000F5206"/>
    <w:rsid w:val="000F6F8B"/>
    <w:rsid w:val="0010298C"/>
    <w:rsid w:val="00102FB7"/>
    <w:rsid w:val="00103B10"/>
    <w:rsid w:val="00103C76"/>
    <w:rsid w:val="00105882"/>
    <w:rsid w:val="001077E1"/>
    <w:rsid w:val="00111382"/>
    <w:rsid w:val="00111832"/>
    <w:rsid w:val="00117244"/>
    <w:rsid w:val="00120113"/>
    <w:rsid w:val="00120510"/>
    <w:rsid w:val="0012092A"/>
    <w:rsid w:val="00121E13"/>
    <w:rsid w:val="0012291B"/>
    <w:rsid w:val="0012427E"/>
    <w:rsid w:val="00125551"/>
    <w:rsid w:val="00126115"/>
    <w:rsid w:val="00127408"/>
    <w:rsid w:val="001337E7"/>
    <w:rsid w:val="00133ED7"/>
    <w:rsid w:val="00134223"/>
    <w:rsid w:val="0013439C"/>
    <w:rsid w:val="00134B7C"/>
    <w:rsid w:val="00134E9C"/>
    <w:rsid w:val="001353D4"/>
    <w:rsid w:val="00136CB8"/>
    <w:rsid w:val="0014051D"/>
    <w:rsid w:val="00140BE8"/>
    <w:rsid w:val="00143D8D"/>
    <w:rsid w:val="0014519A"/>
    <w:rsid w:val="00146158"/>
    <w:rsid w:val="001463DF"/>
    <w:rsid w:val="001509E0"/>
    <w:rsid w:val="00150A2D"/>
    <w:rsid w:val="00150D4B"/>
    <w:rsid w:val="00151CCD"/>
    <w:rsid w:val="001534A1"/>
    <w:rsid w:val="00156699"/>
    <w:rsid w:val="0015694A"/>
    <w:rsid w:val="001573F5"/>
    <w:rsid w:val="00161BE8"/>
    <w:rsid w:val="0016250F"/>
    <w:rsid w:val="00164C33"/>
    <w:rsid w:val="00164CC6"/>
    <w:rsid w:val="00166642"/>
    <w:rsid w:val="001674E9"/>
    <w:rsid w:val="00167617"/>
    <w:rsid w:val="00170ADD"/>
    <w:rsid w:val="00172AB2"/>
    <w:rsid w:val="00172B45"/>
    <w:rsid w:val="00174611"/>
    <w:rsid w:val="00174681"/>
    <w:rsid w:val="00177ADF"/>
    <w:rsid w:val="001801D0"/>
    <w:rsid w:val="00180B10"/>
    <w:rsid w:val="00181F2E"/>
    <w:rsid w:val="00182261"/>
    <w:rsid w:val="00182285"/>
    <w:rsid w:val="00183BDF"/>
    <w:rsid w:val="00184D60"/>
    <w:rsid w:val="00187FA6"/>
    <w:rsid w:val="00190487"/>
    <w:rsid w:val="00192A66"/>
    <w:rsid w:val="00193011"/>
    <w:rsid w:val="00194A2A"/>
    <w:rsid w:val="0019648E"/>
    <w:rsid w:val="00197EBB"/>
    <w:rsid w:val="001A0E0D"/>
    <w:rsid w:val="001A1F50"/>
    <w:rsid w:val="001A2090"/>
    <w:rsid w:val="001A259D"/>
    <w:rsid w:val="001A2821"/>
    <w:rsid w:val="001A4DC8"/>
    <w:rsid w:val="001A6CD7"/>
    <w:rsid w:val="001B0C42"/>
    <w:rsid w:val="001B3900"/>
    <w:rsid w:val="001B43EF"/>
    <w:rsid w:val="001B55C0"/>
    <w:rsid w:val="001C5CED"/>
    <w:rsid w:val="001D1AC3"/>
    <w:rsid w:val="001D4E2E"/>
    <w:rsid w:val="001D560D"/>
    <w:rsid w:val="001D6294"/>
    <w:rsid w:val="001D62A1"/>
    <w:rsid w:val="001E0522"/>
    <w:rsid w:val="001E4A56"/>
    <w:rsid w:val="001E5A40"/>
    <w:rsid w:val="001E6D6D"/>
    <w:rsid w:val="001E6DEB"/>
    <w:rsid w:val="001E6F4A"/>
    <w:rsid w:val="001F1116"/>
    <w:rsid w:val="001F1B5C"/>
    <w:rsid w:val="001F2C73"/>
    <w:rsid w:val="001F2D4C"/>
    <w:rsid w:val="001F3F4B"/>
    <w:rsid w:val="001F5902"/>
    <w:rsid w:val="001F5B7F"/>
    <w:rsid w:val="002042BE"/>
    <w:rsid w:val="00204982"/>
    <w:rsid w:val="002070CE"/>
    <w:rsid w:val="00210A03"/>
    <w:rsid w:val="00214A46"/>
    <w:rsid w:val="002164E3"/>
    <w:rsid w:val="00217B61"/>
    <w:rsid w:val="00217DB5"/>
    <w:rsid w:val="0022019D"/>
    <w:rsid w:val="002214D0"/>
    <w:rsid w:val="00222020"/>
    <w:rsid w:val="0022566C"/>
    <w:rsid w:val="00227078"/>
    <w:rsid w:val="00235569"/>
    <w:rsid w:val="00236ED5"/>
    <w:rsid w:val="00241ADB"/>
    <w:rsid w:val="00244CDC"/>
    <w:rsid w:val="002452E1"/>
    <w:rsid w:val="00254126"/>
    <w:rsid w:val="002553D6"/>
    <w:rsid w:val="0025550E"/>
    <w:rsid w:val="0026038C"/>
    <w:rsid w:val="002609C6"/>
    <w:rsid w:val="002612C3"/>
    <w:rsid w:val="00261C36"/>
    <w:rsid w:val="002638FE"/>
    <w:rsid w:val="002641E0"/>
    <w:rsid w:val="00264FA7"/>
    <w:rsid w:val="002661BE"/>
    <w:rsid w:val="002677BA"/>
    <w:rsid w:val="00267996"/>
    <w:rsid w:val="002704C8"/>
    <w:rsid w:val="002715B2"/>
    <w:rsid w:val="00272E8B"/>
    <w:rsid w:val="00272F27"/>
    <w:rsid w:val="0027404C"/>
    <w:rsid w:val="002746A3"/>
    <w:rsid w:val="00274E11"/>
    <w:rsid w:val="002761B9"/>
    <w:rsid w:val="00277001"/>
    <w:rsid w:val="002772A0"/>
    <w:rsid w:val="00277BC7"/>
    <w:rsid w:val="00280261"/>
    <w:rsid w:val="00280CF5"/>
    <w:rsid w:val="00281DA0"/>
    <w:rsid w:val="00281EDD"/>
    <w:rsid w:val="0028204F"/>
    <w:rsid w:val="00283676"/>
    <w:rsid w:val="002836C0"/>
    <w:rsid w:val="0028398A"/>
    <w:rsid w:val="00283E64"/>
    <w:rsid w:val="00283F90"/>
    <w:rsid w:val="00284A23"/>
    <w:rsid w:val="002855B4"/>
    <w:rsid w:val="00286F9E"/>
    <w:rsid w:val="00287AC8"/>
    <w:rsid w:val="002904FA"/>
    <w:rsid w:val="00291331"/>
    <w:rsid w:val="00293CE5"/>
    <w:rsid w:val="002942F1"/>
    <w:rsid w:val="00294CF1"/>
    <w:rsid w:val="00295299"/>
    <w:rsid w:val="00296A95"/>
    <w:rsid w:val="002A0163"/>
    <w:rsid w:val="002A2567"/>
    <w:rsid w:val="002A2F74"/>
    <w:rsid w:val="002A391E"/>
    <w:rsid w:val="002A41F6"/>
    <w:rsid w:val="002A520C"/>
    <w:rsid w:val="002A789D"/>
    <w:rsid w:val="002A7A5E"/>
    <w:rsid w:val="002A7E98"/>
    <w:rsid w:val="002B13A7"/>
    <w:rsid w:val="002B15EE"/>
    <w:rsid w:val="002B3CDB"/>
    <w:rsid w:val="002B3F23"/>
    <w:rsid w:val="002B40AF"/>
    <w:rsid w:val="002B60C3"/>
    <w:rsid w:val="002B6DBD"/>
    <w:rsid w:val="002C11AB"/>
    <w:rsid w:val="002C673A"/>
    <w:rsid w:val="002C676C"/>
    <w:rsid w:val="002C68C4"/>
    <w:rsid w:val="002C6A26"/>
    <w:rsid w:val="002C6E18"/>
    <w:rsid w:val="002C70D6"/>
    <w:rsid w:val="002C74BE"/>
    <w:rsid w:val="002D1266"/>
    <w:rsid w:val="002D19D3"/>
    <w:rsid w:val="002D2ACD"/>
    <w:rsid w:val="002D3E8B"/>
    <w:rsid w:val="002D419A"/>
    <w:rsid w:val="002D468C"/>
    <w:rsid w:val="002D684E"/>
    <w:rsid w:val="002E042F"/>
    <w:rsid w:val="002E13EC"/>
    <w:rsid w:val="002E1C2D"/>
    <w:rsid w:val="002E467B"/>
    <w:rsid w:val="002E4F56"/>
    <w:rsid w:val="002E6E25"/>
    <w:rsid w:val="002F05B2"/>
    <w:rsid w:val="002F3FB1"/>
    <w:rsid w:val="002F5858"/>
    <w:rsid w:val="002F5AB9"/>
    <w:rsid w:val="002F705D"/>
    <w:rsid w:val="003001DC"/>
    <w:rsid w:val="0030070D"/>
    <w:rsid w:val="00302B9D"/>
    <w:rsid w:val="003046F4"/>
    <w:rsid w:val="0030557C"/>
    <w:rsid w:val="00306AE6"/>
    <w:rsid w:val="00307258"/>
    <w:rsid w:val="0030745D"/>
    <w:rsid w:val="00311CCC"/>
    <w:rsid w:val="003124D1"/>
    <w:rsid w:val="003133F6"/>
    <w:rsid w:val="00313D34"/>
    <w:rsid w:val="00314AF0"/>
    <w:rsid w:val="00314EF6"/>
    <w:rsid w:val="00315055"/>
    <w:rsid w:val="003150C2"/>
    <w:rsid w:val="003175DE"/>
    <w:rsid w:val="00317B7D"/>
    <w:rsid w:val="00317FDC"/>
    <w:rsid w:val="003215E9"/>
    <w:rsid w:val="0032175A"/>
    <w:rsid w:val="003245DF"/>
    <w:rsid w:val="0032460E"/>
    <w:rsid w:val="00326DF3"/>
    <w:rsid w:val="003309B3"/>
    <w:rsid w:val="003321D9"/>
    <w:rsid w:val="003329D9"/>
    <w:rsid w:val="00334DA8"/>
    <w:rsid w:val="00335150"/>
    <w:rsid w:val="003357F4"/>
    <w:rsid w:val="00335811"/>
    <w:rsid w:val="00335E0C"/>
    <w:rsid w:val="00336FFF"/>
    <w:rsid w:val="00337438"/>
    <w:rsid w:val="00340152"/>
    <w:rsid w:val="0034201D"/>
    <w:rsid w:val="00343323"/>
    <w:rsid w:val="0034361E"/>
    <w:rsid w:val="0034483E"/>
    <w:rsid w:val="00344A6E"/>
    <w:rsid w:val="00345226"/>
    <w:rsid w:val="00347BEA"/>
    <w:rsid w:val="00347E55"/>
    <w:rsid w:val="00350652"/>
    <w:rsid w:val="0035248C"/>
    <w:rsid w:val="00352CC9"/>
    <w:rsid w:val="00353DC6"/>
    <w:rsid w:val="00353DDD"/>
    <w:rsid w:val="00355A49"/>
    <w:rsid w:val="003570D5"/>
    <w:rsid w:val="00361200"/>
    <w:rsid w:val="00362528"/>
    <w:rsid w:val="0036395E"/>
    <w:rsid w:val="00365A25"/>
    <w:rsid w:val="003711BF"/>
    <w:rsid w:val="00371AE1"/>
    <w:rsid w:val="00372499"/>
    <w:rsid w:val="00372B2F"/>
    <w:rsid w:val="0037353B"/>
    <w:rsid w:val="003768F6"/>
    <w:rsid w:val="0038448A"/>
    <w:rsid w:val="0038564F"/>
    <w:rsid w:val="00387F1A"/>
    <w:rsid w:val="0039125C"/>
    <w:rsid w:val="00391683"/>
    <w:rsid w:val="00391CB5"/>
    <w:rsid w:val="0039554D"/>
    <w:rsid w:val="0039571C"/>
    <w:rsid w:val="00395A0D"/>
    <w:rsid w:val="003A0707"/>
    <w:rsid w:val="003A3DDD"/>
    <w:rsid w:val="003A44E5"/>
    <w:rsid w:val="003A5D60"/>
    <w:rsid w:val="003A64BE"/>
    <w:rsid w:val="003B22D5"/>
    <w:rsid w:val="003B2937"/>
    <w:rsid w:val="003B4105"/>
    <w:rsid w:val="003B5AEF"/>
    <w:rsid w:val="003B5BCA"/>
    <w:rsid w:val="003C1034"/>
    <w:rsid w:val="003C1C5E"/>
    <w:rsid w:val="003C1E38"/>
    <w:rsid w:val="003C2895"/>
    <w:rsid w:val="003D0E15"/>
    <w:rsid w:val="003D5E50"/>
    <w:rsid w:val="003D63D3"/>
    <w:rsid w:val="003D664E"/>
    <w:rsid w:val="003D74CC"/>
    <w:rsid w:val="003E1A4F"/>
    <w:rsid w:val="003E462B"/>
    <w:rsid w:val="003E6EA5"/>
    <w:rsid w:val="003E7EF8"/>
    <w:rsid w:val="003F0497"/>
    <w:rsid w:val="003F0E58"/>
    <w:rsid w:val="003F19DF"/>
    <w:rsid w:val="003F396C"/>
    <w:rsid w:val="003F60F4"/>
    <w:rsid w:val="0040054E"/>
    <w:rsid w:val="004007D0"/>
    <w:rsid w:val="00401C65"/>
    <w:rsid w:val="00401D98"/>
    <w:rsid w:val="004021D0"/>
    <w:rsid w:val="00402C6F"/>
    <w:rsid w:val="00403629"/>
    <w:rsid w:val="0040507E"/>
    <w:rsid w:val="004066F8"/>
    <w:rsid w:val="00410092"/>
    <w:rsid w:val="00410459"/>
    <w:rsid w:val="00413754"/>
    <w:rsid w:val="0041425E"/>
    <w:rsid w:val="004152E0"/>
    <w:rsid w:val="004156DE"/>
    <w:rsid w:val="00416C14"/>
    <w:rsid w:val="00417719"/>
    <w:rsid w:val="00421832"/>
    <w:rsid w:val="00422165"/>
    <w:rsid w:val="00422C31"/>
    <w:rsid w:val="00423203"/>
    <w:rsid w:val="0042662B"/>
    <w:rsid w:val="00426C26"/>
    <w:rsid w:val="004277FC"/>
    <w:rsid w:val="0043167E"/>
    <w:rsid w:val="00435BF5"/>
    <w:rsid w:val="004375EF"/>
    <w:rsid w:val="00440716"/>
    <w:rsid w:val="00441D62"/>
    <w:rsid w:val="0044238B"/>
    <w:rsid w:val="004426CB"/>
    <w:rsid w:val="00442C90"/>
    <w:rsid w:val="00445F0B"/>
    <w:rsid w:val="00446482"/>
    <w:rsid w:val="004466F1"/>
    <w:rsid w:val="004507B5"/>
    <w:rsid w:val="00452C03"/>
    <w:rsid w:val="00454194"/>
    <w:rsid w:val="0045489B"/>
    <w:rsid w:val="00454EEB"/>
    <w:rsid w:val="00455CCA"/>
    <w:rsid w:val="004604D9"/>
    <w:rsid w:val="00460CBF"/>
    <w:rsid w:val="00461311"/>
    <w:rsid w:val="00461BF9"/>
    <w:rsid w:val="0046348C"/>
    <w:rsid w:val="0046644F"/>
    <w:rsid w:val="004719CC"/>
    <w:rsid w:val="00471EA2"/>
    <w:rsid w:val="00472BFA"/>
    <w:rsid w:val="00472C16"/>
    <w:rsid w:val="00473A29"/>
    <w:rsid w:val="00475EDF"/>
    <w:rsid w:val="00476958"/>
    <w:rsid w:val="00476BCE"/>
    <w:rsid w:val="00477588"/>
    <w:rsid w:val="00482E49"/>
    <w:rsid w:val="0048391D"/>
    <w:rsid w:val="0048440B"/>
    <w:rsid w:val="00485578"/>
    <w:rsid w:val="00486697"/>
    <w:rsid w:val="00487108"/>
    <w:rsid w:val="00487BF6"/>
    <w:rsid w:val="00487FE5"/>
    <w:rsid w:val="004913D5"/>
    <w:rsid w:val="004917AD"/>
    <w:rsid w:val="004932EE"/>
    <w:rsid w:val="00493518"/>
    <w:rsid w:val="00494F1B"/>
    <w:rsid w:val="004957D4"/>
    <w:rsid w:val="004970C6"/>
    <w:rsid w:val="004975E6"/>
    <w:rsid w:val="004A42B4"/>
    <w:rsid w:val="004A5B14"/>
    <w:rsid w:val="004A6242"/>
    <w:rsid w:val="004A692A"/>
    <w:rsid w:val="004B1797"/>
    <w:rsid w:val="004B255E"/>
    <w:rsid w:val="004B271F"/>
    <w:rsid w:val="004B43D9"/>
    <w:rsid w:val="004B4A74"/>
    <w:rsid w:val="004B507C"/>
    <w:rsid w:val="004B511B"/>
    <w:rsid w:val="004B7517"/>
    <w:rsid w:val="004C26B9"/>
    <w:rsid w:val="004C275F"/>
    <w:rsid w:val="004C59EE"/>
    <w:rsid w:val="004C60F0"/>
    <w:rsid w:val="004C6F8D"/>
    <w:rsid w:val="004C7A2D"/>
    <w:rsid w:val="004D01C1"/>
    <w:rsid w:val="004D03B3"/>
    <w:rsid w:val="004D05A2"/>
    <w:rsid w:val="004D086F"/>
    <w:rsid w:val="004D16C3"/>
    <w:rsid w:val="004D1BBD"/>
    <w:rsid w:val="004D2431"/>
    <w:rsid w:val="004D3AB2"/>
    <w:rsid w:val="004D3CD2"/>
    <w:rsid w:val="004D6802"/>
    <w:rsid w:val="004D7C95"/>
    <w:rsid w:val="004E014A"/>
    <w:rsid w:val="004E0864"/>
    <w:rsid w:val="004E0BC8"/>
    <w:rsid w:val="004E1CEC"/>
    <w:rsid w:val="004E42E9"/>
    <w:rsid w:val="004E43B6"/>
    <w:rsid w:val="004E4705"/>
    <w:rsid w:val="004E4AE2"/>
    <w:rsid w:val="004E5D5E"/>
    <w:rsid w:val="004F0E54"/>
    <w:rsid w:val="004F15BD"/>
    <w:rsid w:val="004F25DE"/>
    <w:rsid w:val="004F29E2"/>
    <w:rsid w:val="004F4B28"/>
    <w:rsid w:val="004F55F9"/>
    <w:rsid w:val="004F5AD8"/>
    <w:rsid w:val="004F6555"/>
    <w:rsid w:val="00501005"/>
    <w:rsid w:val="00503E0B"/>
    <w:rsid w:val="005041EC"/>
    <w:rsid w:val="00506A23"/>
    <w:rsid w:val="005072F5"/>
    <w:rsid w:val="00512226"/>
    <w:rsid w:val="00514AC5"/>
    <w:rsid w:val="005171BA"/>
    <w:rsid w:val="005174B7"/>
    <w:rsid w:val="005202D1"/>
    <w:rsid w:val="00521193"/>
    <w:rsid w:val="00523DE6"/>
    <w:rsid w:val="00527321"/>
    <w:rsid w:val="005277A7"/>
    <w:rsid w:val="00527B59"/>
    <w:rsid w:val="00527F2E"/>
    <w:rsid w:val="0053055A"/>
    <w:rsid w:val="00530B15"/>
    <w:rsid w:val="00532914"/>
    <w:rsid w:val="0053320C"/>
    <w:rsid w:val="005346D6"/>
    <w:rsid w:val="005354B7"/>
    <w:rsid w:val="00536F1E"/>
    <w:rsid w:val="00537149"/>
    <w:rsid w:val="00540EDA"/>
    <w:rsid w:val="00541D7F"/>
    <w:rsid w:val="00543834"/>
    <w:rsid w:val="00543A30"/>
    <w:rsid w:val="00544BE5"/>
    <w:rsid w:val="00546740"/>
    <w:rsid w:val="0054727B"/>
    <w:rsid w:val="005475E0"/>
    <w:rsid w:val="005511F0"/>
    <w:rsid w:val="0055278A"/>
    <w:rsid w:val="00552DE7"/>
    <w:rsid w:val="00552F7E"/>
    <w:rsid w:val="00553DFC"/>
    <w:rsid w:val="00555A82"/>
    <w:rsid w:val="00557FEB"/>
    <w:rsid w:val="00560382"/>
    <w:rsid w:val="0056146F"/>
    <w:rsid w:val="00563C50"/>
    <w:rsid w:val="005665D0"/>
    <w:rsid w:val="00566642"/>
    <w:rsid w:val="005672F2"/>
    <w:rsid w:val="00567E92"/>
    <w:rsid w:val="005706E0"/>
    <w:rsid w:val="0057470B"/>
    <w:rsid w:val="00575FFC"/>
    <w:rsid w:val="0057615E"/>
    <w:rsid w:val="005765B9"/>
    <w:rsid w:val="00576F44"/>
    <w:rsid w:val="00581065"/>
    <w:rsid w:val="005818AF"/>
    <w:rsid w:val="00582CEF"/>
    <w:rsid w:val="005838BB"/>
    <w:rsid w:val="00585233"/>
    <w:rsid w:val="00585674"/>
    <w:rsid w:val="00586003"/>
    <w:rsid w:val="00587329"/>
    <w:rsid w:val="00592F97"/>
    <w:rsid w:val="00595B55"/>
    <w:rsid w:val="00596699"/>
    <w:rsid w:val="00596793"/>
    <w:rsid w:val="005A0359"/>
    <w:rsid w:val="005A1A30"/>
    <w:rsid w:val="005A2280"/>
    <w:rsid w:val="005A299C"/>
    <w:rsid w:val="005A2DF8"/>
    <w:rsid w:val="005A553F"/>
    <w:rsid w:val="005A5B24"/>
    <w:rsid w:val="005A65D3"/>
    <w:rsid w:val="005B116E"/>
    <w:rsid w:val="005B4A99"/>
    <w:rsid w:val="005B6DC3"/>
    <w:rsid w:val="005B756D"/>
    <w:rsid w:val="005B7961"/>
    <w:rsid w:val="005C0997"/>
    <w:rsid w:val="005C12A0"/>
    <w:rsid w:val="005C21F7"/>
    <w:rsid w:val="005C4DDE"/>
    <w:rsid w:val="005C5C22"/>
    <w:rsid w:val="005C639A"/>
    <w:rsid w:val="005C7173"/>
    <w:rsid w:val="005D18FD"/>
    <w:rsid w:val="005D231F"/>
    <w:rsid w:val="005D48AA"/>
    <w:rsid w:val="005D4AB3"/>
    <w:rsid w:val="005D683C"/>
    <w:rsid w:val="005D6CAB"/>
    <w:rsid w:val="005E1B5B"/>
    <w:rsid w:val="005E2021"/>
    <w:rsid w:val="005E41D9"/>
    <w:rsid w:val="005E44CB"/>
    <w:rsid w:val="005E494C"/>
    <w:rsid w:val="005E4F4B"/>
    <w:rsid w:val="005E5299"/>
    <w:rsid w:val="005E6640"/>
    <w:rsid w:val="005E7BA8"/>
    <w:rsid w:val="005F013E"/>
    <w:rsid w:val="005F01A4"/>
    <w:rsid w:val="005F0496"/>
    <w:rsid w:val="005F0912"/>
    <w:rsid w:val="005F0927"/>
    <w:rsid w:val="005F0C62"/>
    <w:rsid w:val="005F0DFA"/>
    <w:rsid w:val="005F2138"/>
    <w:rsid w:val="005F3235"/>
    <w:rsid w:val="005F38E4"/>
    <w:rsid w:val="005F4C9A"/>
    <w:rsid w:val="005F4FD5"/>
    <w:rsid w:val="005F5087"/>
    <w:rsid w:val="005F6527"/>
    <w:rsid w:val="005F661F"/>
    <w:rsid w:val="005F677E"/>
    <w:rsid w:val="005F6E6C"/>
    <w:rsid w:val="005F720D"/>
    <w:rsid w:val="0060187B"/>
    <w:rsid w:val="00602795"/>
    <w:rsid w:val="00603594"/>
    <w:rsid w:val="006059C6"/>
    <w:rsid w:val="0061071B"/>
    <w:rsid w:val="0061314B"/>
    <w:rsid w:val="0061442B"/>
    <w:rsid w:val="006155EC"/>
    <w:rsid w:val="006215E3"/>
    <w:rsid w:val="006247D8"/>
    <w:rsid w:val="006253BE"/>
    <w:rsid w:val="0063088F"/>
    <w:rsid w:val="00631B36"/>
    <w:rsid w:val="00632BBE"/>
    <w:rsid w:val="00632C77"/>
    <w:rsid w:val="006342F4"/>
    <w:rsid w:val="0063530B"/>
    <w:rsid w:val="0063594A"/>
    <w:rsid w:val="006370BD"/>
    <w:rsid w:val="0063744D"/>
    <w:rsid w:val="00641CF5"/>
    <w:rsid w:val="00642595"/>
    <w:rsid w:val="00642A11"/>
    <w:rsid w:val="00645D4C"/>
    <w:rsid w:val="00647E6A"/>
    <w:rsid w:val="00650E46"/>
    <w:rsid w:val="00651320"/>
    <w:rsid w:val="00651477"/>
    <w:rsid w:val="00653519"/>
    <w:rsid w:val="00653C2A"/>
    <w:rsid w:val="00654408"/>
    <w:rsid w:val="0065669D"/>
    <w:rsid w:val="00657120"/>
    <w:rsid w:val="0066078E"/>
    <w:rsid w:val="006612EC"/>
    <w:rsid w:val="006622D8"/>
    <w:rsid w:val="00663EC9"/>
    <w:rsid w:val="006703E1"/>
    <w:rsid w:val="00670585"/>
    <w:rsid w:val="006705EC"/>
    <w:rsid w:val="00670EA9"/>
    <w:rsid w:val="00671945"/>
    <w:rsid w:val="00673723"/>
    <w:rsid w:val="00673C48"/>
    <w:rsid w:val="00674A9E"/>
    <w:rsid w:val="006776F7"/>
    <w:rsid w:val="0068169A"/>
    <w:rsid w:val="00681CB2"/>
    <w:rsid w:val="00684104"/>
    <w:rsid w:val="00684A60"/>
    <w:rsid w:val="00684EC2"/>
    <w:rsid w:val="006853F5"/>
    <w:rsid w:val="006860AD"/>
    <w:rsid w:val="00686413"/>
    <w:rsid w:val="00687782"/>
    <w:rsid w:val="006902FC"/>
    <w:rsid w:val="006913E3"/>
    <w:rsid w:val="00691C71"/>
    <w:rsid w:val="006945F8"/>
    <w:rsid w:val="006970C9"/>
    <w:rsid w:val="00697A56"/>
    <w:rsid w:val="006A04A9"/>
    <w:rsid w:val="006A0940"/>
    <w:rsid w:val="006A41EB"/>
    <w:rsid w:val="006A53D9"/>
    <w:rsid w:val="006A5E1D"/>
    <w:rsid w:val="006B116D"/>
    <w:rsid w:val="006B3551"/>
    <w:rsid w:val="006B3720"/>
    <w:rsid w:val="006B39BD"/>
    <w:rsid w:val="006B5FED"/>
    <w:rsid w:val="006B7D21"/>
    <w:rsid w:val="006C0354"/>
    <w:rsid w:val="006C2746"/>
    <w:rsid w:val="006C8D17"/>
    <w:rsid w:val="006D0A27"/>
    <w:rsid w:val="006D117C"/>
    <w:rsid w:val="006D1662"/>
    <w:rsid w:val="006D3950"/>
    <w:rsid w:val="006D528C"/>
    <w:rsid w:val="006D6BBA"/>
    <w:rsid w:val="006D7741"/>
    <w:rsid w:val="006D7E15"/>
    <w:rsid w:val="006E01A4"/>
    <w:rsid w:val="006E152F"/>
    <w:rsid w:val="006E16E9"/>
    <w:rsid w:val="006E4AD2"/>
    <w:rsid w:val="006E513A"/>
    <w:rsid w:val="006E634C"/>
    <w:rsid w:val="006E76C0"/>
    <w:rsid w:val="006E7F70"/>
    <w:rsid w:val="006F0086"/>
    <w:rsid w:val="006F216A"/>
    <w:rsid w:val="006F47CA"/>
    <w:rsid w:val="006F4FCF"/>
    <w:rsid w:val="006F5BB4"/>
    <w:rsid w:val="006F7DC7"/>
    <w:rsid w:val="007005F5"/>
    <w:rsid w:val="00701AB2"/>
    <w:rsid w:val="00702313"/>
    <w:rsid w:val="00702F03"/>
    <w:rsid w:val="007055C6"/>
    <w:rsid w:val="0071059D"/>
    <w:rsid w:val="0071123D"/>
    <w:rsid w:val="00711C10"/>
    <w:rsid w:val="007124A8"/>
    <w:rsid w:val="00714C17"/>
    <w:rsid w:val="0071588B"/>
    <w:rsid w:val="007211B1"/>
    <w:rsid w:val="00721239"/>
    <w:rsid w:val="007216FC"/>
    <w:rsid w:val="00722D20"/>
    <w:rsid w:val="00723D71"/>
    <w:rsid w:val="00725A64"/>
    <w:rsid w:val="00725B36"/>
    <w:rsid w:val="0072606E"/>
    <w:rsid w:val="0073074E"/>
    <w:rsid w:val="00732107"/>
    <w:rsid w:val="00732BBA"/>
    <w:rsid w:val="0073402E"/>
    <w:rsid w:val="007354FC"/>
    <w:rsid w:val="00735BE1"/>
    <w:rsid w:val="007400A5"/>
    <w:rsid w:val="00742FD5"/>
    <w:rsid w:val="00743110"/>
    <w:rsid w:val="00743621"/>
    <w:rsid w:val="00744C56"/>
    <w:rsid w:val="0074636B"/>
    <w:rsid w:val="00746386"/>
    <w:rsid w:val="00746760"/>
    <w:rsid w:val="0074788A"/>
    <w:rsid w:val="007508FC"/>
    <w:rsid w:val="00750A40"/>
    <w:rsid w:val="007511DA"/>
    <w:rsid w:val="00751D3C"/>
    <w:rsid w:val="0075202D"/>
    <w:rsid w:val="00754450"/>
    <w:rsid w:val="00754497"/>
    <w:rsid w:val="00754ADB"/>
    <w:rsid w:val="00755E18"/>
    <w:rsid w:val="00757A5A"/>
    <w:rsid w:val="00760B37"/>
    <w:rsid w:val="007614E7"/>
    <w:rsid w:val="00761E6F"/>
    <w:rsid w:val="00762B50"/>
    <w:rsid w:val="007630D7"/>
    <w:rsid w:val="0076399E"/>
    <w:rsid w:val="0076402E"/>
    <w:rsid w:val="0076522F"/>
    <w:rsid w:val="0076596E"/>
    <w:rsid w:val="007661B7"/>
    <w:rsid w:val="007662BA"/>
    <w:rsid w:val="007667F6"/>
    <w:rsid w:val="007705EF"/>
    <w:rsid w:val="00770B26"/>
    <w:rsid w:val="00771100"/>
    <w:rsid w:val="00772C37"/>
    <w:rsid w:val="007733D6"/>
    <w:rsid w:val="00773488"/>
    <w:rsid w:val="00773D29"/>
    <w:rsid w:val="00774187"/>
    <w:rsid w:val="0077429D"/>
    <w:rsid w:val="00777378"/>
    <w:rsid w:val="00777A94"/>
    <w:rsid w:val="00780138"/>
    <w:rsid w:val="007810D8"/>
    <w:rsid w:val="00781736"/>
    <w:rsid w:val="007834D1"/>
    <w:rsid w:val="00785581"/>
    <w:rsid w:val="00785EF9"/>
    <w:rsid w:val="007878B3"/>
    <w:rsid w:val="0079241B"/>
    <w:rsid w:val="0079269B"/>
    <w:rsid w:val="00792AEB"/>
    <w:rsid w:val="0079377C"/>
    <w:rsid w:val="00793EE8"/>
    <w:rsid w:val="00793F78"/>
    <w:rsid w:val="00794A02"/>
    <w:rsid w:val="0079530D"/>
    <w:rsid w:val="007958BE"/>
    <w:rsid w:val="007959CC"/>
    <w:rsid w:val="00797371"/>
    <w:rsid w:val="00797A01"/>
    <w:rsid w:val="00797A6B"/>
    <w:rsid w:val="007A16DB"/>
    <w:rsid w:val="007A4696"/>
    <w:rsid w:val="007A4C38"/>
    <w:rsid w:val="007A5C0E"/>
    <w:rsid w:val="007A66FE"/>
    <w:rsid w:val="007A6DF6"/>
    <w:rsid w:val="007B02E9"/>
    <w:rsid w:val="007B08BE"/>
    <w:rsid w:val="007B0B00"/>
    <w:rsid w:val="007B0D6A"/>
    <w:rsid w:val="007B109D"/>
    <w:rsid w:val="007B1599"/>
    <w:rsid w:val="007B36AD"/>
    <w:rsid w:val="007B54E7"/>
    <w:rsid w:val="007B7742"/>
    <w:rsid w:val="007B7800"/>
    <w:rsid w:val="007C0426"/>
    <w:rsid w:val="007C16B6"/>
    <w:rsid w:val="007C7C9C"/>
    <w:rsid w:val="007D0065"/>
    <w:rsid w:val="007D0E55"/>
    <w:rsid w:val="007D121E"/>
    <w:rsid w:val="007D25E3"/>
    <w:rsid w:val="007D294C"/>
    <w:rsid w:val="007D4B35"/>
    <w:rsid w:val="007D5168"/>
    <w:rsid w:val="007D5356"/>
    <w:rsid w:val="007D5411"/>
    <w:rsid w:val="007E184F"/>
    <w:rsid w:val="007E22B4"/>
    <w:rsid w:val="007E3845"/>
    <w:rsid w:val="007E5231"/>
    <w:rsid w:val="007E5BD4"/>
    <w:rsid w:val="007E72D2"/>
    <w:rsid w:val="007E7A99"/>
    <w:rsid w:val="007F10B3"/>
    <w:rsid w:val="007F1143"/>
    <w:rsid w:val="007F1B8B"/>
    <w:rsid w:val="007F4393"/>
    <w:rsid w:val="007F49D4"/>
    <w:rsid w:val="007F4C36"/>
    <w:rsid w:val="007F5AC7"/>
    <w:rsid w:val="007F5B23"/>
    <w:rsid w:val="007F77CD"/>
    <w:rsid w:val="007F7D81"/>
    <w:rsid w:val="008009A4"/>
    <w:rsid w:val="0080137C"/>
    <w:rsid w:val="00804970"/>
    <w:rsid w:val="00805AAB"/>
    <w:rsid w:val="00805B34"/>
    <w:rsid w:val="00806905"/>
    <w:rsid w:val="00807385"/>
    <w:rsid w:val="00810745"/>
    <w:rsid w:val="00810B44"/>
    <w:rsid w:val="00811E6A"/>
    <w:rsid w:val="00814EDA"/>
    <w:rsid w:val="00815910"/>
    <w:rsid w:val="008175DB"/>
    <w:rsid w:val="008229EF"/>
    <w:rsid w:val="00826794"/>
    <w:rsid w:val="00830B35"/>
    <w:rsid w:val="00831A5C"/>
    <w:rsid w:val="00834A10"/>
    <w:rsid w:val="00834DA7"/>
    <w:rsid w:val="00835B98"/>
    <w:rsid w:val="00837EF4"/>
    <w:rsid w:val="008409E6"/>
    <w:rsid w:val="00843DE3"/>
    <w:rsid w:val="008448E1"/>
    <w:rsid w:val="00844F43"/>
    <w:rsid w:val="00845005"/>
    <w:rsid w:val="00852EFE"/>
    <w:rsid w:val="00856420"/>
    <w:rsid w:val="008565B3"/>
    <w:rsid w:val="00856AE2"/>
    <w:rsid w:val="008570DC"/>
    <w:rsid w:val="00857E84"/>
    <w:rsid w:val="008606F7"/>
    <w:rsid w:val="00860FF3"/>
    <w:rsid w:val="0086286F"/>
    <w:rsid w:val="00864872"/>
    <w:rsid w:val="00864A92"/>
    <w:rsid w:val="00865367"/>
    <w:rsid w:val="008657F5"/>
    <w:rsid w:val="0086787C"/>
    <w:rsid w:val="00867B51"/>
    <w:rsid w:val="00867CC8"/>
    <w:rsid w:val="0087442F"/>
    <w:rsid w:val="008766F5"/>
    <w:rsid w:val="0087688C"/>
    <w:rsid w:val="00877207"/>
    <w:rsid w:val="008775BB"/>
    <w:rsid w:val="00880E27"/>
    <w:rsid w:val="00880F2F"/>
    <w:rsid w:val="00881DF8"/>
    <w:rsid w:val="0088311B"/>
    <w:rsid w:val="00883C9B"/>
    <w:rsid w:val="00883DB6"/>
    <w:rsid w:val="00883E76"/>
    <w:rsid w:val="00885677"/>
    <w:rsid w:val="00885D90"/>
    <w:rsid w:val="0088695C"/>
    <w:rsid w:val="00886BAD"/>
    <w:rsid w:val="00887283"/>
    <w:rsid w:val="00887567"/>
    <w:rsid w:val="0088758F"/>
    <w:rsid w:val="008906F8"/>
    <w:rsid w:val="00891045"/>
    <w:rsid w:val="008919BA"/>
    <w:rsid w:val="008A0C50"/>
    <w:rsid w:val="008A350D"/>
    <w:rsid w:val="008A4847"/>
    <w:rsid w:val="008A60E3"/>
    <w:rsid w:val="008B0760"/>
    <w:rsid w:val="008B1345"/>
    <w:rsid w:val="008B1F91"/>
    <w:rsid w:val="008B2F22"/>
    <w:rsid w:val="008B3D2C"/>
    <w:rsid w:val="008B4B56"/>
    <w:rsid w:val="008B4ECD"/>
    <w:rsid w:val="008B57FB"/>
    <w:rsid w:val="008B794C"/>
    <w:rsid w:val="008C03D3"/>
    <w:rsid w:val="008C08B1"/>
    <w:rsid w:val="008C0B9A"/>
    <w:rsid w:val="008C2C8E"/>
    <w:rsid w:val="008D02D2"/>
    <w:rsid w:val="008D184B"/>
    <w:rsid w:val="008D1B4A"/>
    <w:rsid w:val="008D24A9"/>
    <w:rsid w:val="008D4A28"/>
    <w:rsid w:val="008D6162"/>
    <w:rsid w:val="008D7958"/>
    <w:rsid w:val="008E485D"/>
    <w:rsid w:val="008F37D9"/>
    <w:rsid w:val="008F3892"/>
    <w:rsid w:val="008F4551"/>
    <w:rsid w:val="008F6229"/>
    <w:rsid w:val="00903285"/>
    <w:rsid w:val="0090379A"/>
    <w:rsid w:val="00904531"/>
    <w:rsid w:val="00904577"/>
    <w:rsid w:val="0090615B"/>
    <w:rsid w:val="00907C15"/>
    <w:rsid w:val="009107D2"/>
    <w:rsid w:val="00910D6A"/>
    <w:rsid w:val="00914356"/>
    <w:rsid w:val="0091456E"/>
    <w:rsid w:val="009146D6"/>
    <w:rsid w:val="00922904"/>
    <w:rsid w:val="0092316B"/>
    <w:rsid w:val="00923284"/>
    <w:rsid w:val="00924797"/>
    <w:rsid w:val="00925354"/>
    <w:rsid w:val="009258CA"/>
    <w:rsid w:val="009269CB"/>
    <w:rsid w:val="00927798"/>
    <w:rsid w:val="009278BF"/>
    <w:rsid w:val="00927B1D"/>
    <w:rsid w:val="00930370"/>
    <w:rsid w:val="00930818"/>
    <w:rsid w:val="0093214F"/>
    <w:rsid w:val="00932844"/>
    <w:rsid w:val="00933734"/>
    <w:rsid w:val="00934D1A"/>
    <w:rsid w:val="009357E4"/>
    <w:rsid w:val="009359CE"/>
    <w:rsid w:val="00937749"/>
    <w:rsid w:val="0094068C"/>
    <w:rsid w:val="009406C3"/>
    <w:rsid w:val="00942B6E"/>
    <w:rsid w:val="00944932"/>
    <w:rsid w:val="009462FC"/>
    <w:rsid w:val="00946E8F"/>
    <w:rsid w:val="009504DA"/>
    <w:rsid w:val="00950FAE"/>
    <w:rsid w:val="00951553"/>
    <w:rsid w:val="00951F23"/>
    <w:rsid w:val="00953A36"/>
    <w:rsid w:val="00954F35"/>
    <w:rsid w:val="00955FA2"/>
    <w:rsid w:val="00956BEA"/>
    <w:rsid w:val="00957CED"/>
    <w:rsid w:val="0096035E"/>
    <w:rsid w:val="00962034"/>
    <w:rsid w:val="00963192"/>
    <w:rsid w:val="00963411"/>
    <w:rsid w:val="0096386F"/>
    <w:rsid w:val="00963C5E"/>
    <w:rsid w:val="00964D34"/>
    <w:rsid w:val="009652E7"/>
    <w:rsid w:val="00971ACD"/>
    <w:rsid w:val="00972F77"/>
    <w:rsid w:val="009733F0"/>
    <w:rsid w:val="00973D7E"/>
    <w:rsid w:val="00974263"/>
    <w:rsid w:val="00974D55"/>
    <w:rsid w:val="00981571"/>
    <w:rsid w:val="009818F2"/>
    <w:rsid w:val="0098291D"/>
    <w:rsid w:val="00982DC5"/>
    <w:rsid w:val="0098664D"/>
    <w:rsid w:val="00987761"/>
    <w:rsid w:val="00992B53"/>
    <w:rsid w:val="00993FC1"/>
    <w:rsid w:val="00997849"/>
    <w:rsid w:val="009A0757"/>
    <w:rsid w:val="009A0CDB"/>
    <w:rsid w:val="009A2E03"/>
    <w:rsid w:val="009A3E5F"/>
    <w:rsid w:val="009A4E35"/>
    <w:rsid w:val="009A59B3"/>
    <w:rsid w:val="009A6479"/>
    <w:rsid w:val="009A719F"/>
    <w:rsid w:val="009B0271"/>
    <w:rsid w:val="009B249F"/>
    <w:rsid w:val="009B44F8"/>
    <w:rsid w:val="009B4947"/>
    <w:rsid w:val="009B6062"/>
    <w:rsid w:val="009B6D29"/>
    <w:rsid w:val="009B729D"/>
    <w:rsid w:val="009C1A43"/>
    <w:rsid w:val="009C244D"/>
    <w:rsid w:val="009C4065"/>
    <w:rsid w:val="009C43C4"/>
    <w:rsid w:val="009C58B3"/>
    <w:rsid w:val="009D2905"/>
    <w:rsid w:val="009D38D7"/>
    <w:rsid w:val="009D423C"/>
    <w:rsid w:val="009D4413"/>
    <w:rsid w:val="009D6601"/>
    <w:rsid w:val="009D78DD"/>
    <w:rsid w:val="009D7AB5"/>
    <w:rsid w:val="009D7DB6"/>
    <w:rsid w:val="009E5FDB"/>
    <w:rsid w:val="009E62C1"/>
    <w:rsid w:val="009E6857"/>
    <w:rsid w:val="009F053B"/>
    <w:rsid w:val="009F067C"/>
    <w:rsid w:val="009F09FF"/>
    <w:rsid w:val="009F2520"/>
    <w:rsid w:val="009F2A85"/>
    <w:rsid w:val="009F2B8A"/>
    <w:rsid w:val="009F5AF3"/>
    <w:rsid w:val="009F6118"/>
    <w:rsid w:val="009F67CC"/>
    <w:rsid w:val="009F6C83"/>
    <w:rsid w:val="009F6CA4"/>
    <w:rsid w:val="00A009D1"/>
    <w:rsid w:val="00A02136"/>
    <w:rsid w:val="00A022A4"/>
    <w:rsid w:val="00A02645"/>
    <w:rsid w:val="00A0275B"/>
    <w:rsid w:val="00A06425"/>
    <w:rsid w:val="00A10703"/>
    <w:rsid w:val="00A146C0"/>
    <w:rsid w:val="00A15655"/>
    <w:rsid w:val="00A156CC"/>
    <w:rsid w:val="00A174A4"/>
    <w:rsid w:val="00A204C7"/>
    <w:rsid w:val="00A20D33"/>
    <w:rsid w:val="00A22F44"/>
    <w:rsid w:val="00A247AA"/>
    <w:rsid w:val="00A24CA8"/>
    <w:rsid w:val="00A25E8B"/>
    <w:rsid w:val="00A308E9"/>
    <w:rsid w:val="00A30F92"/>
    <w:rsid w:val="00A31C57"/>
    <w:rsid w:val="00A31EF9"/>
    <w:rsid w:val="00A33A46"/>
    <w:rsid w:val="00A34D01"/>
    <w:rsid w:val="00A34FE0"/>
    <w:rsid w:val="00A354D7"/>
    <w:rsid w:val="00A361D7"/>
    <w:rsid w:val="00A36BC7"/>
    <w:rsid w:val="00A37439"/>
    <w:rsid w:val="00A375B6"/>
    <w:rsid w:val="00A40171"/>
    <w:rsid w:val="00A414C5"/>
    <w:rsid w:val="00A415A6"/>
    <w:rsid w:val="00A43961"/>
    <w:rsid w:val="00A4427C"/>
    <w:rsid w:val="00A46D59"/>
    <w:rsid w:val="00A5043F"/>
    <w:rsid w:val="00A51088"/>
    <w:rsid w:val="00A51433"/>
    <w:rsid w:val="00A52520"/>
    <w:rsid w:val="00A52D21"/>
    <w:rsid w:val="00A541D0"/>
    <w:rsid w:val="00A55E22"/>
    <w:rsid w:val="00A55F73"/>
    <w:rsid w:val="00A57834"/>
    <w:rsid w:val="00A57A66"/>
    <w:rsid w:val="00A63557"/>
    <w:rsid w:val="00A648CA"/>
    <w:rsid w:val="00A65397"/>
    <w:rsid w:val="00A6576F"/>
    <w:rsid w:val="00A7080B"/>
    <w:rsid w:val="00A72BF5"/>
    <w:rsid w:val="00A734AD"/>
    <w:rsid w:val="00A737D1"/>
    <w:rsid w:val="00A740FB"/>
    <w:rsid w:val="00A74A93"/>
    <w:rsid w:val="00A763FE"/>
    <w:rsid w:val="00A82A78"/>
    <w:rsid w:val="00A82B0B"/>
    <w:rsid w:val="00A83780"/>
    <w:rsid w:val="00A868B9"/>
    <w:rsid w:val="00A93A53"/>
    <w:rsid w:val="00A94DA0"/>
    <w:rsid w:val="00A9505B"/>
    <w:rsid w:val="00A967AF"/>
    <w:rsid w:val="00A96AE0"/>
    <w:rsid w:val="00AA1841"/>
    <w:rsid w:val="00AA5107"/>
    <w:rsid w:val="00AA5B54"/>
    <w:rsid w:val="00AA699A"/>
    <w:rsid w:val="00AA6AC3"/>
    <w:rsid w:val="00AA6F7D"/>
    <w:rsid w:val="00AA7387"/>
    <w:rsid w:val="00AB0510"/>
    <w:rsid w:val="00AB1BA8"/>
    <w:rsid w:val="00AB24DA"/>
    <w:rsid w:val="00AB2CF8"/>
    <w:rsid w:val="00AB4A11"/>
    <w:rsid w:val="00AB503F"/>
    <w:rsid w:val="00AB51F2"/>
    <w:rsid w:val="00AB6100"/>
    <w:rsid w:val="00AB7644"/>
    <w:rsid w:val="00AC3887"/>
    <w:rsid w:val="00AC4BBF"/>
    <w:rsid w:val="00AC5563"/>
    <w:rsid w:val="00AC5895"/>
    <w:rsid w:val="00AC6BDA"/>
    <w:rsid w:val="00AC7796"/>
    <w:rsid w:val="00AC79AD"/>
    <w:rsid w:val="00AD116A"/>
    <w:rsid w:val="00AD14D4"/>
    <w:rsid w:val="00AD183B"/>
    <w:rsid w:val="00AD1886"/>
    <w:rsid w:val="00AD2A10"/>
    <w:rsid w:val="00AD465E"/>
    <w:rsid w:val="00AD4DD5"/>
    <w:rsid w:val="00AD6424"/>
    <w:rsid w:val="00AD7573"/>
    <w:rsid w:val="00AD7987"/>
    <w:rsid w:val="00AE1951"/>
    <w:rsid w:val="00AE1ADD"/>
    <w:rsid w:val="00AE2441"/>
    <w:rsid w:val="00AE25A9"/>
    <w:rsid w:val="00AE287E"/>
    <w:rsid w:val="00AE2BC2"/>
    <w:rsid w:val="00AE31DB"/>
    <w:rsid w:val="00AE34F0"/>
    <w:rsid w:val="00AE44E3"/>
    <w:rsid w:val="00AE48CE"/>
    <w:rsid w:val="00AE6662"/>
    <w:rsid w:val="00AF18DB"/>
    <w:rsid w:val="00AF2741"/>
    <w:rsid w:val="00AF37FD"/>
    <w:rsid w:val="00AF3E33"/>
    <w:rsid w:val="00AF409B"/>
    <w:rsid w:val="00AF44FC"/>
    <w:rsid w:val="00AF4B28"/>
    <w:rsid w:val="00AF5D5E"/>
    <w:rsid w:val="00AF711C"/>
    <w:rsid w:val="00AF76C6"/>
    <w:rsid w:val="00AFEB30"/>
    <w:rsid w:val="00B032A1"/>
    <w:rsid w:val="00B04B63"/>
    <w:rsid w:val="00B053ED"/>
    <w:rsid w:val="00B07145"/>
    <w:rsid w:val="00B07784"/>
    <w:rsid w:val="00B11B3F"/>
    <w:rsid w:val="00B1244E"/>
    <w:rsid w:val="00B14DDD"/>
    <w:rsid w:val="00B17D07"/>
    <w:rsid w:val="00B20A19"/>
    <w:rsid w:val="00B211D4"/>
    <w:rsid w:val="00B21BE2"/>
    <w:rsid w:val="00B21FF3"/>
    <w:rsid w:val="00B22A10"/>
    <w:rsid w:val="00B23E20"/>
    <w:rsid w:val="00B2598B"/>
    <w:rsid w:val="00B31533"/>
    <w:rsid w:val="00B31A9E"/>
    <w:rsid w:val="00B31F24"/>
    <w:rsid w:val="00B3267C"/>
    <w:rsid w:val="00B34C95"/>
    <w:rsid w:val="00B36CBE"/>
    <w:rsid w:val="00B41DAC"/>
    <w:rsid w:val="00B41E38"/>
    <w:rsid w:val="00B45A44"/>
    <w:rsid w:val="00B4763B"/>
    <w:rsid w:val="00B476B7"/>
    <w:rsid w:val="00B50458"/>
    <w:rsid w:val="00B5102E"/>
    <w:rsid w:val="00B5188C"/>
    <w:rsid w:val="00B51DB6"/>
    <w:rsid w:val="00B520E2"/>
    <w:rsid w:val="00B5251C"/>
    <w:rsid w:val="00B52DCD"/>
    <w:rsid w:val="00B53264"/>
    <w:rsid w:val="00B538BD"/>
    <w:rsid w:val="00B555C6"/>
    <w:rsid w:val="00B56418"/>
    <w:rsid w:val="00B577B2"/>
    <w:rsid w:val="00B578D9"/>
    <w:rsid w:val="00B60370"/>
    <w:rsid w:val="00B60AD3"/>
    <w:rsid w:val="00B6549F"/>
    <w:rsid w:val="00B66E6F"/>
    <w:rsid w:val="00B66EC4"/>
    <w:rsid w:val="00B67103"/>
    <w:rsid w:val="00B67C68"/>
    <w:rsid w:val="00B71B1A"/>
    <w:rsid w:val="00B74729"/>
    <w:rsid w:val="00B74816"/>
    <w:rsid w:val="00B75103"/>
    <w:rsid w:val="00B76405"/>
    <w:rsid w:val="00B76814"/>
    <w:rsid w:val="00B76D4C"/>
    <w:rsid w:val="00B7764B"/>
    <w:rsid w:val="00B815F2"/>
    <w:rsid w:val="00B825B8"/>
    <w:rsid w:val="00B82DD0"/>
    <w:rsid w:val="00B835A0"/>
    <w:rsid w:val="00B854F3"/>
    <w:rsid w:val="00B871B6"/>
    <w:rsid w:val="00B90495"/>
    <w:rsid w:val="00B91103"/>
    <w:rsid w:val="00B917EB"/>
    <w:rsid w:val="00B92477"/>
    <w:rsid w:val="00B96A57"/>
    <w:rsid w:val="00B979BD"/>
    <w:rsid w:val="00BA173E"/>
    <w:rsid w:val="00BA1893"/>
    <w:rsid w:val="00BA25A5"/>
    <w:rsid w:val="00BA289B"/>
    <w:rsid w:val="00BA4943"/>
    <w:rsid w:val="00BA6235"/>
    <w:rsid w:val="00BA67D2"/>
    <w:rsid w:val="00BA7EBB"/>
    <w:rsid w:val="00BB1721"/>
    <w:rsid w:val="00BB2076"/>
    <w:rsid w:val="00BB5BF6"/>
    <w:rsid w:val="00BB61E7"/>
    <w:rsid w:val="00BB7748"/>
    <w:rsid w:val="00BB7FB6"/>
    <w:rsid w:val="00BC0745"/>
    <w:rsid w:val="00BC16A2"/>
    <w:rsid w:val="00BC217E"/>
    <w:rsid w:val="00BC2550"/>
    <w:rsid w:val="00BC380A"/>
    <w:rsid w:val="00BC429D"/>
    <w:rsid w:val="00BC52FA"/>
    <w:rsid w:val="00BC5EC1"/>
    <w:rsid w:val="00BC69C6"/>
    <w:rsid w:val="00BD5273"/>
    <w:rsid w:val="00BD5E6D"/>
    <w:rsid w:val="00BE0D91"/>
    <w:rsid w:val="00BE1E70"/>
    <w:rsid w:val="00BE4513"/>
    <w:rsid w:val="00BE46CE"/>
    <w:rsid w:val="00BE49AA"/>
    <w:rsid w:val="00BE733E"/>
    <w:rsid w:val="00BF29B9"/>
    <w:rsid w:val="00BF317F"/>
    <w:rsid w:val="00BF4588"/>
    <w:rsid w:val="00BF47EE"/>
    <w:rsid w:val="00BF540D"/>
    <w:rsid w:val="00BF5E2C"/>
    <w:rsid w:val="00BF7AA9"/>
    <w:rsid w:val="00C0199A"/>
    <w:rsid w:val="00C02630"/>
    <w:rsid w:val="00C02F7B"/>
    <w:rsid w:val="00C03226"/>
    <w:rsid w:val="00C0448B"/>
    <w:rsid w:val="00C079DE"/>
    <w:rsid w:val="00C110AD"/>
    <w:rsid w:val="00C1418F"/>
    <w:rsid w:val="00C153DA"/>
    <w:rsid w:val="00C16016"/>
    <w:rsid w:val="00C16C73"/>
    <w:rsid w:val="00C1722C"/>
    <w:rsid w:val="00C208A0"/>
    <w:rsid w:val="00C209D4"/>
    <w:rsid w:val="00C20AF7"/>
    <w:rsid w:val="00C21FFF"/>
    <w:rsid w:val="00C22C1E"/>
    <w:rsid w:val="00C22D48"/>
    <w:rsid w:val="00C23045"/>
    <w:rsid w:val="00C2443E"/>
    <w:rsid w:val="00C25E86"/>
    <w:rsid w:val="00C27852"/>
    <w:rsid w:val="00C30BE9"/>
    <w:rsid w:val="00C3265D"/>
    <w:rsid w:val="00C331EA"/>
    <w:rsid w:val="00C33B69"/>
    <w:rsid w:val="00C34340"/>
    <w:rsid w:val="00C3463A"/>
    <w:rsid w:val="00C34926"/>
    <w:rsid w:val="00C35329"/>
    <w:rsid w:val="00C36A73"/>
    <w:rsid w:val="00C37D27"/>
    <w:rsid w:val="00C3B9E4"/>
    <w:rsid w:val="00C400C2"/>
    <w:rsid w:val="00C41252"/>
    <w:rsid w:val="00C412AF"/>
    <w:rsid w:val="00C41748"/>
    <w:rsid w:val="00C41D14"/>
    <w:rsid w:val="00C42EFE"/>
    <w:rsid w:val="00C451AD"/>
    <w:rsid w:val="00C45C96"/>
    <w:rsid w:val="00C4668E"/>
    <w:rsid w:val="00C504AF"/>
    <w:rsid w:val="00C51F94"/>
    <w:rsid w:val="00C53B89"/>
    <w:rsid w:val="00C546EF"/>
    <w:rsid w:val="00C55518"/>
    <w:rsid w:val="00C57C6A"/>
    <w:rsid w:val="00C57E7C"/>
    <w:rsid w:val="00C64B1B"/>
    <w:rsid w:val="00C66B9B"/>
    <w:rsid w:val="00C67540"/>
    <w:rsid w:val="00C718F1"/>
    <w:rsid w:val="00C7213A"/>
    <w:rsid w:val="00C72F6F"/>
    <w:rsid w:val="00C75CCB"/>
    <w:rsid w:val="00C805C8"/>
    <w:rsid w:val="00C81AC1"/>
    <w:rsid w:val="00C86B60"/>
    <w:rsid w:val="00C86E45"/>
    <w:rsid w:val="00C8712B"/>
    <w:rsid w:val="00C87769"/>
    <w:rsid w:val="00C921EE"/>
    <w:rsid w:val="00C93217"/>
    <w:rsid w:val="00C93369"/>
    <w:rsid w:val="00C945F8"/>
    <w:rsid w:val="00C94F6C"/>
    <w:rsid w:val="00C95355"/>
    <w:rsid w:val="00C953C6"/>
    <w:rsid w:val="00C96559"/>
    <w:rsid w:val="00C96D26"/>
    <w:rsid w:val="00CA07B1"/>
    <w:rsid w:val="00CA0CD4"/>
    <w:rsid w:val="00CA0D35"/>
    <w:rsid w:val="00CA25AE"/>
    <w:rsid w:val="00CA5A35"/>
    <w:rsid w:val="00CA7994"/>
    <w:rsid w:val="00CA7B29"/>
    <w:rsid w:val="00CB0049"/>
    <w:rsid w:val="00CB1175"/>
    <w:rsid w:val="00CB1E59"/>
    <w:rsid w:val="00CB2B1B"/>
    <w:rsid w:val="00CB4148"/>
    <w:rsid w:val="00CB4695"/>
    <w:rsid w:val="00CB50F4"/>
    <w:rsid w:val="00CB5B0C"/>
    <w:rsid w:val="00CB7A24"/>
    <w:rsid w:val="00CC1737"/>
    <w:rsid w:val="00CC470F"/>
    <w:rsid w:val="00CC6F2C"/>
    <w:rsid w:val="00CC73B3"/>
    <w:rsid w:val="00CC7E32"/>
    <w:rsid w:val="00CD1B7B"/>
    <w:rsid w:val="00CD229B"/>
    <w:rsid w:val="00CD25B5"/>
    <w:rsid w:val="00CD3D82"/>
    <w:rsid w:val="00CD579C"/>
    <w:rsid w:val="00CD5EB0"/>
    <w:rsid w:val="00CD653E"/>
    <w:rsid w:val="00CE015D"/>
    <w:rsid w:val="00CE106F"/>
    <w:rsid w:val="00CE3800"/>
    <w:rsid w:val="00CE4077"/>
    <w:rsid w:val="00CE4B4E"/>
    <w:rsid w:val="00CE524F"/>
    <w:rsid w:val="00CF0DCF"/>
    <w:rsid w:val="00CF1359"/>
    <w:rsid w:val="00CF1783"/>
    <w:rsid w:val="00CF2433"/>
    <w:rsid w:val="00CF2B2A"/>
    <w:rsid w:val="00CF4DEC"/>
    <w:rsid w:val="00CF5AEA"/>
    <w:rsid w:val="00CF722A"/>
    <w:rsid w:val="00CF7A87"/>
    <w:rsid w:val="00D0016A"/>
    <w:rsid w:val="00D036A9"/>
    <w:rsid w:val="00D036F5"/>
    <w:rsid w:val="00D03ACB"/>
    <w:rsid w:val="00D049FD"/>
    <w:rsid w:val="00D06533"/>
    <w:rsid w:val="00D06A5B"/>
    <w:rsid w:val="00D105E0"/>
    <w:rsid w:val="00D10761"/>
    <w:rsid w:val="00D10F46"/>
    <w:rsid w:val="00D11514"/>
    <w:rsid w:val="00D1257E"/>
    <w:rsid w:val="00D12EF2"/>
    <w:rsid w:val="00D14CC6"/>
    <w:rsid w:val="00D154F1"/>
    <w:rsid w:val="00D158A2"/>
    <w:rsid w:val="00D17C37"/>
    <w:rsid w:val="00D2020F"/>
    <w:rsid w:val="00D20649"/>
    <w:rsid w:val="00D2166C"/>
    <w:rsid w:val="00D21770"/>
    <w:rsid w:val="00D240A7"/>
    <w:rsid w:val="00D255FB"/>
    <w:rsid w:val="00D31D89"/>
    <w:rsid w:val="00D3261B"/>
    <w:rsid w:val="00D3311B"/>
    <w:rsid w:val="00D335B6"/>
    <w:rsid w:val="00D337F9"/>
    <w:rsid w:val="00D36E1D"/>
    <w:rsid w:val="00D37A12"/>
    <w:rsid w:val="00D404E6"/>
    <w:rsid w:val="00D419C9"/>
    <w:rsid w:val="00D420E5"/>
    <w:rsid w:val="00D44897"/>
    <w:rsid w:val="00D45528"/>
    <w:rsid w:val="00D47C9E"/>
    <w:rsid w:val="00D47CD1"/>
    <w:rsid w:val="00D50B51"/>
    <w:rsid w:val="00D53827"/>
    <w:rsid w:val="00D54586"/>
    <w:rsid w:val="00D54F15"/>
    <w:rsid w:val="00D54F1E"/>
    <w:rsid w:val="00D564F8"/>
    <w:rsid w:val="00D570A3"/>
    <w:rsid w:val="00D572DA"/>
    <w:rsid w:val="00D60E8D"/>
    <w:rsid w:val="00D620C3"/>
    <w:rsid w:val="00D63677"/>
    <w:rsid w:val="00D63913"/>
    <w:rsid w:val="00D63ADF"/>
    <w:rsid w:val="00D63C4E"/>
    <w:rsid w:val="00D65BE1"/>
    <w:rsid w:val="00D660A5"/>
    <w:rsid w:val="00D70B20"/>
    <w:rsid w:val="00D70E32"/>
    <w:rsid w:val="00D73C21"/>
    <w:rsid w:val="00D75F67"/>
    <w:rsid w:val="00D77493"/>
    <w:rsid w:val="00D82320"/>
    <w:rsid w:val="00D824BB"/>
    <w:rsid w:val="00D829C0"/>
    <w:rsid w:val="00D835EB"/>
    <w:rsid w:val="00D8674A"/>
    <w:rsid w:val="00D90457"/>
    <w:rsid w:val="00D90CC8"/>
    <w:rsid w:val="00D9155D"/>
    <w:rsid w:val="00D91F43"/>
    <w:rsid w:val="00D9221D"/>
    <w:rsid w:val="00D92504"/>
    <w:rsid w:val="00D94E84"/>
    <w:rsid w:val="00D95903"/>
    <w:rsid w:val="00D95CD4"/>
    <w:rsid w:val="00D95CE0"/>
    <w:rsid w:val="00D97803"/>
    <w:rsid w:val="00DA0137"/>
    <w:rsid w:val="00DA0361"/>
    <w:rsid w:val="00DA5DD6"/>
    <w:rsid w:val="00DA5E89"/>
    <w:rsid w:val="00DA614D"/>
    <w:rsid w:val="00DA6481"/>
    <w:rsid w:val="00DA68B5"/>
    <w:rsid w:val="00DA70F2"/>
    <w:rsid w:val="00DB03E6"/>
    <w:rsid w:val="00DB0481"/>
    <w:rsid w:val="00DB26BE"/>
    <w:rsid w:val="00DB44AD"/>
    <w:rsid w:val="00DB4B3B"/>
    <w:rsid w:val="00DB535A"/>
    <w:rsid w:val="00DB5D19"/>
    <w:rsid w:val="00DB5D7E"/>
    <w:rsid w:val="00DB6240"/>
    <w:rsid w:val="00DC01E7"/>
    <w:rsid w:val="00DC0FFA"/>
    <w:rsid w:val="00DC16DD"/>
    <w:rsid w:val="00DC2987"/>
    <w:rsid w:val="00DC3345"/>
    <w:rsid w:val="00DC448D"/>
    <w:rsid w:val="00DC6946"/>
    <w:rsid w:val="00DD05C8"/>
    <w:rsid w:val="00DD216E"/>
    <w:rsid w:val="00DD245C"/>
    <w:rsid w:val="00DD30D2"/>
    <w:rsid w:val="00DD50E8"/>
    <w:rsid w:val="00DD723E"/>
    <w:rsid w:val="00DD79B0"/>
    <w:rsid w:val="00DE1C66"/>
    <w:rsid w:val="00DE3B52"/>
    <w:rsid w:val="00DE4DDC"/>
    <w:rsid w:val="00DE5C80"/>
    <w:rsid w:val="00DE66B3"/>
    <w:rsid w:val="00DE72A4"/>
    <w:rsid w:val="00DF0ADC"/>
    <w:rsid w:val="00DF0DF0"/>
    <w:rsid w:val="00DF39DE"/>
    <w:rsid w:val="00DF41C3"/>
    <w:rsid w:val="00DF4373"/>
    <w:rsid w:val="00DF4836"/>
    <w:rsid w:val="00DF49CA"/>
    <w:rsid w:val="00DF5583"/>
    <w:rsid w:val="00DF55A3"/>
    <w:rsid w:val="00DF5C72"/>
    <w:rsid w:val="00DF5C90"/>
    <w:rsid w:val="00DF65D1"/>
    <w:rsid w:val="00DF7CAE"/>
    <w:rsid w:val="00E00DBC"/>
    <w:rsid w:val="00E01FC5"/>
    <w:rsid w:val="00E02173"/>
    <w:rsid w:val="00E034F9"/>
    <w:rsid w:val="00E03F8F"/>
    <w:rsid w:val="00E05583"/>
    <w:rsid w:val="00E11A31"/>
    <w:rsid w:val="00E12F70"/>
    <w:rsid w:val="00E137A5"/>
    <w:rsid w:val="00E1382C"/>
    <w:rsid w:val="00E1430F"/>
    <w:rsid w:val="00E143B1"/>
    <w:rsid w:val="00E14C33"/>
    <w:rsid w:val="00E155B3"/>
    <w:rsid w:val="00E158A9"/>
    <w:rsid w:val="00E206A6"/>
    <w:rsid w:val="00E23605"/>
    <w:rsid w:val="00E24477"/>
    <w:rsid w:val="00E24A2B"/>
    <w:rsid w:val="00E24F19"/>
    <w:rsid w:val="00E257F4"/>
    <w:rsid w:val="00E258ED"/>
    <w:rsid w:val="00E26121"/>
    <w:rsid w:val="00E269CB"/>
    <w:rsid w:val="00E2753F"/>
    <w:rsid w:val="00E27995"/>
    <w:rsid w:val="00E32AD5"/>
    <w:rsid w:val="00E3594D"/>
    <w:rsid w:val="00E35B0E"/>
    <w:rsid w:val="00E41CA8"/>
    <w:rsid w:val="00E420A3"/>
    <w:rsid w:val="00E4304C"/>
    <w:rsid w:val="00E4393E"/>
    <w:rsid w:val="00E4404C"/>
    <w:rsid w:val="00E4412C"/>
    <w:rsid w:val="00E44370"/>
    <w:rsid w:val="00E46894"/>
    <w:rsid w:val="00E5029E"/>
    <w:rsid w:val="00E50E49"/>
    <w:rsid w:val="00E517B6"/>
    <w:rsid w:val="00E51F97"/>
    <w:rsid w:val="00E52461"/>
    <w:rsid w:val="00E52916"/>
    <w:rsid w:val="00E52D2C"/>
    <w:rsid w:val="00E55509"/>
    <w:rsid w:val="00E566EF"/>
    <w:rsid w:val="00E5762B"/>
    <w:rsid w:val="00E60087"/>
    <w:rsid w:val="00E61A8A"/>
    <w:rsid w:val="00E624F7"/>
    <w:rsid w:val="00E63000"/>
    <w:rsid w:val="00E63916"/>
    <w:rsid w:val="00E64731"/>
    <w:rsid w:val="00E649AF"/>
    <w:rsid w:val="00E6502B"/>
    <w:rsid w:val="00E650E4"/>
    <w:rsid w:val="00E6517F"/>
    <w:rsid w:val="00E67CB4"/>
    <w:rsid w:val="00E70577"/>
    <w:rsid w:val="00E7143D"/>
    <w:rsid w:val="00E74ED5"/>
    <w:rsid w:val="00E75658"/>
    <w:rsid w:val="00E75807"/>
    <w:rsid w:val="00E76E09"/>
    <w:rsid w:val="00E77386"/>
    <w:rsid w:val="00E77773"/>
    <w:rsid w:val="00E8095E"/>
    <w:rsid w:val="00E80F68"/>
    <w:rsid w:val="00E8173E"/>
    <w:rsid w:val="00E826D9"/>
    <w:rsid w:val="00E82EB9"/>
    <w:rsid w:val="00E8305D"/>
    <w:rsid w:val="00E83323"/>
    <w:rsid w:val="00E846D2"/>
    <w:rsid w:val="00E84A74"/>
    <w:rsid w:val="00E8531A"/>
    <w:rsid w:val="00E85DCA"/>
    <w:rsid w:val="00E90757"/>
    <w:rsid w:val="00E91646"/>
    <w:rsid w:val="00E91E72"/>
    <w:rsid w:val="00E934EB"/>
    <w:rsid w:val="00E9389B"/>
    <w:rsid w:val="00E956A6"/>
    <w:rsid w:val="00E95E76"/>
    <w:rsid w:val="00E965C4"/>
    <w:rsid w:val="00E9759A"/>
    <w:rsid w:val="00E97C66"/>
    <w:rsid w:val="00EA2EB3"/>
    <w:rsid w:val="00EA2F23"/>
    <w:rsid w:val="00EA34D4"/>
    <w:rsid w:val="00EA636B"/>
    <w:rsid w:val="00EA66B8"/>
    <w:rsid w:val="00EA720F"/>
    <w:rsid w:val="00EB057C"/>
    <w:rsid w:val="00EB0F0E"/>
    <w:rsid w:val="00EB1439"/>
    <w:rsid w:val="00EB2736"/>
    <w:rsid w:val="00EB54F1"/>
    <w:rsid w:val="00EB5643"/>
    <w:rsid w:val="00EB7297"/>
    <w:rsid w:val="00EB76B4"/>
    <w:rsid w:val="00EC0860"/>
    <w:rsid w:val="00EC0966"/>
    <w:rsid w:val="00EC0A53"/>
    <w:rsid w:val="00EC11F9"/>
    <w:rsid w:val="00EC1648"/>
    <w:rsid w:val="00EC297B"/>
    <w:rsid w:val="00EC30F8"/>
    <w:rsid w:val="00EC4E6C"/>
    <w:rsid w:val="00EC51E2"/>
    <w:rsid w:val="00ED0219"/>
    <w:rsid w:val="00ED0C12"/>
    <w:rsid w:val="00ED2513"/>
    <w:rsid w:val="00ED26CA"/>
    <w:rsid w:val="00ED2D8C"/>
    <w:rsid w:val="00ED355D"/>
    <w:rsid w:val="00ED3FBD"/>
    <w:rsid w:val="00ED3FEB"/>
    <w:rsid w:val="00ED4B63"/>
    <w:rsid w:val="00ED4D33"/>
    <w:rsid w:val="00ED5030"/>
    <w:rsid w:val="00ED798C"/>
    <w:rsid w:val="00EE295B"/>
    <w:rsid w:val="00EE45CF"/>
    <w:rsid w:val="00EE5E1E"/>
    <w:rsid w:val="00EE602A"/>
    <w:rsid w:val="00EE6038"/>
    <w:rsid w:val="00EE7A51"/>
    <w:rsid w:val="00EF0961"/>
    <w:rsid w:val="00EF2219"/>
    <w:rsid w:val="00EF2530"/>
    <w:rsid w:val="00EF3450"/>
    <w:rsid w:val="00EF691B"/>
    <w:rsid w:val="00EF6C47"/>
    <w:rsid w:val="00EF7044"/>
    <w:rsid w:val="00F0002C"/>
    <w:rsid w:val="00F0014A"/>
    <w:rsid w:val="00F009A6"/>
    <w:rsid w:val="00F01DA4"/>
    <w:rsid w:val="00F02F5B"/>
    <w:rsid w:val="00F03BE2"/>
    <w:rsid w:val="00F04E22"/>
    <w:rsid w:val="00F0522F"/>
    <w:rsid w:val="00F066C6"/>
    <w:rsid w:val="00F111B3"/>
    <w:rsid w:val="00F1481B"/>
    <w:rsid w:val="00F154BE"/>
    <w:rsid w:val="00F15C0F"/>
    <w:rsid w:val="00F165A4"/>
    <w:rsid w:val="00F209D9"/>
    <w:rsid w:val="00F216EC"/>
    <w:rsid w:val="00F21B6B"/>
    <w:rsid w:val="00F2375B"/>
    <w:rsid w:val="00F25A56"/>
    <w:rsid w:val="00F25DDC"/>
    <w:rsid w:val="00F26FFF"/>
    <w:rsid w:val="00F32157"/>
    <w:rsid w:val="00F3331A"/>
    <w:rsid w:val="00F33551"/>
    <w:rsid w:val="00F33D5F"/>
    <w:rsid w:val="00F34594"/>
    <w:rsid w:val="00F35641"/>
    <w:rsid w:val="00F365B2"/>
    <w:rsid w:val="00F37568"/>
    <w:rsid w:val="00F42A38"/>
    <w:rsid w:val="00F42B58"/>
    <w:rsid w:val="00F43280"/>
    <w:rsid w:val="00F46694"/>
    <w:rsid w:val="00F47DEB"/>
    <w:rsid w:val="00F53E28"/>
    <w:rsid w:val="00F5536B"/>
    <w:rsid w:val="00F55F6E"/>
    <w:rsid w:val="00F56539"/>
    <w:rsid w:val="00F57288"/>
    <w:rsid w:val="00F57A4E"/>
    <w:rsid w:val="00F60EA5"/>
    <w:rsid w:val="00F613C7"/>
    <w:rsid w:val="00F61E1D"/>
    <w:rsid w:val="00F61FC5"/>
    <w:rsid w:val="00F62631"/>
    <w:rsid w:val="00F63A05"/>
    <w:rsid w:val="00F64BB5"/>
    <w:rsid w:val="00F6547F"/>
    <w:rsid w:val="00F66122"/>
    <w:rsid w:val="00F70380"/>
    <w:rsid w:val="00F7078F"/>
    <w:rsid w:val="00F716A0"/>
    <w:rsid w:val="00F75469"/>
    <w:rsid w:val="00F76752"/>
    <w:rsid w:val="00F76AAA"/>
    <w:rsid w:val="00F76B6B"/>
    <w:rsid w:val="00F779C3"/>
    <w:rsid w:val="00F80258"/>
    <w:rsid w:val="00F80E43"/>
    <w:rsid w:val="00F80F08"/>
    <w:rsid w:val="00F819CE"/>
    <w:rsid w:val="00F83E30"/>
    <w:rsid w:val="00F84E28"/>
    <w:rsid w:val="00F851A3"/>
    <w:rsid w:val="00F86B97"/>
    <w:rsid w:val="00F90278"/>
    <w:rsid w:val="00F92FCA"/>
    <w:rsid w:val="00F95E34"/>
    <w:rsid w:val="00F973A2"/>
    <w:rsid w:val="00F97F2F"/>
    <w:rsid w:val="00FA0439"/>
    <w:rsid w:val="00FA0F27"/>
    <w:rsid w:val="00FA2ED9"/>
    <w:rsid w:val="00FA3DF2"/>
    <w:rsid w:val="00FA517B"/>
    <w:rsid w:val="00FA5CD4"/>
    <w:rsid w:val="00FB04D7"/>
    <w:rsid w:val="00FB0923"/>
    <w:rsid w:val="00FB0FD4"/>
    <w:rsid w:val="00FB181A"/>
    <w:rsid w:val="00FB2488"/>
    <w:rsid w:val="00FB52E2"/>
    <w:rsid w:val="00FB5472"/>
    <w:rsid w:val="00FB6EBF"/>
    <w:rsid w:val="00FB7665"/>
    <w:rsid w:val="00FC080B"/>
    <w:rsid w:val="00FC0D0D"/>
    <w:rsid w:val="00FC222C"/>
    <w:rsid w:val="00FC22E8"/>
    <w:rsid w:val="00FC42DF"/>
    <w:rsid w:val="00FC475B"/>
    <w:rsid w:val="00FC489F"/>
    <w:rsid w:val="00FC7D15"/>
    <w:rsid w:val="00FD037B"/>
    <w:rsid w:val="00FD2BAD"/>
    <w:rsid w:val="00FD2EB9"/>
    <w:rsid w:val="00FD4A20"/>
    <w:rsid w:val="00FD5F70"/>
    <w:rsid w:val="00FD5F99"/>
    <w:rsid w:val="00FD690E"/>
    <w:rsid w:val="00FD6A3F"/>
    <w:rsid w:val="00FD72A2"/>
    <w:rsid w:val="00FD747A"/>
    <w:rsid w:val="00FD75DC"/>
    <w:rsid w:val="00FE2CA6"/>
    <w:rsid w:val="00FE3863"/>
    <w:rsid w:val="00FE3F91"/>
    <w:rsid w:val="00FE65A6"/>
    <w:rsid w:val="00FF0A67"/>
    <w:rsid w:val="00FF1807"/>
    <w:rsid w:val="00FF3238"/>
    <w:rsid w:val="00FF4FD3"/>
    <w:rsid w:val="00FF5020"/>
    <w:rsid w:val="00FF5188"/>
    <w:rsid w:val="014594F8"/>
    <w:rsid w:val="01EAD84C"/>
    <w:rsid w:val="025314C5"/>
    <w:rsid w:val="029BE154"/>
    <w:rsid w:val="02F2BB7D"/>
    <w:rsid w:val="0359788F"/>
    <w:rsid w:val="03F8812E"/>
    <w:rsid w:val="04145BA2"/>
    <w:rsid w:val="04348D5F"/>
    <w:rsid w:val="04591CE4"/>
    <w:rsid w:val="045B72EE"/>
    <w:rsid w:val="046A4769"/>
    <w:rsid w:val="046DF99D"/>
    <w:rsid w:val="047058E9"/>
    <w:rsid w:val="04A1255E"/>
    <w:rsid w:val="04D32F42"/>
    <w:rsid w:val="050F0519"/>
    <w:rsid w:val="0578CAF4"/>
    <w:rsid w:val="05C40D10"/>
    <w:rsid w:val="06036BF3"/>
    <w:rsid w:val="060CCCD0"/>
    <w:rsid w:val="0624516B"/>
    <w:rsid w:val="0673EE54"/>
    <w:rsid w:val="067C8F46"/>
    <w:rsid w:val="067D3C73"/>
    <w:rsid w:val="06874354"/>
    <w:rsid w:val="06BECDF6"/>
    <w:rsid w:val="06EDC543"/>
    <w:rsid w:val="075E720C"/>
    <w:rsid w:val="07A840E7"/>
    <w:rsid w:val="080593F5"/>
    <w:rsid w:val="0826F6CE"/>
    <w:rsid w:val="0879FDE9"/>
    <w:rsid w:val="08B83BF7"/>
    <w:rsid w:val="08DF215E"/>
    <w:rsid w:val="095CB370"/>
    <w:rsid w:val="09920172"/>
    <w:rsid w:val="099C26F1"/>
    <w:rsid w:val="09B77519"/>
    <w:rsid w:val="09B9FD1F"/>
    <w:rsid w:val="09C5F6CE"/>
    <w:rsid w:val="09D5C4B3"/>
    <w:rsid w:val="09F3FCF8"/>
    <w:rsid w:val="0A3DDB92"/>
    <w:rsid w:val="0A710D3A"/>
    <w:rsid w:val="0AD20BA7"/>
    <w:rsid w:val="0AFBAE35"/>
    <w:rsid w:val="0B48ABCA"/>
    <w:rsid w:val="0B98C35B"/>
    <w:rsid w:val="0BBF69F2"/>
    <w:rsid w:val="0BFD514D"/>
    <w:rsid w:val="0C35B55D"/>
    <w:rsid w:val="0C743AFC"/>
    <w:rsid w:val="0C77706F"/>
    <w:rsid w:val="0C954789"/>
    <w:rsid w:val="0C9E98A5"/>
    <w:rsid w:val="0D19F473"/>
    <w:rsid w:val="0DC2C2A2"/>
    <w:rsid w:val="0E075ACB"/>
    <w:rsid w:val="0E0CE454"/>
    <w:rsid w:val="0E27BFE4"/>
    <w:rsid w:val="0E2AE23A"/>
    <w:rsid w:val="0E48037F"/>
    <w:rsid w:val="0E495495"/>
    <w:rsid w:val="0E78E62A"/>
    <w:rsid w:val="0ECB9BBB"/>
    <w:rsid w:val="0EDF8304"/>
    <w:rsid w:val="0F056A05"/>
    <w:rsid w:val="0F1ADF7A"/>
    <w:rsid w:val="0F7D3063"/>
    <w:rsid w:val="0F8A8061"/>
    <w:rsid w:val="101CF002"/>
    <w:rsid w:val="103A4900"/>
    <w:rsid w:val="106D9E33"/>
    <w:rsid w:val="10D054AD"/>
    <w:rsid w:val="10D53A6E"/>
    <w:rsid w:val="10F7748F"/>
    <w:rsid w:val="110BB702"/>
    <w:rsid w:val="11111E9D"/>
    <w:rsid w:val="12401991"/>
    <w:rsid w:val="12683DEF"/>
    <w:rsid w:val="1292F662"/>
    <w:rsid w:val="129A7E3C"/>
    <w:rsid w:val="12CE79C0"/>
    <w:rsid w:val="12E78384"/>
    <w:rsid w:val="12F68E83"/>
    <w:rsid w:val="133F76EB"/>
    <w:rsid w:val="1347093B"/>
    <w:rsid w:val="1373146D"/>
    <w:rsid w:val="13A22181"/>
    <w:rsid w:val="13BCE590"/>
    <w:rsid w:val="1405A3F1"/>
    <w:rsid w:val="14413544"/>
    <w:rsid w:val="14AAF5A1"/>
    <w:rsid w:val="14CB2C2C"/>
    <w:rsid w:val="14ED2305"/>
    <w:rsid w:val="1530BEF8"/>
    <w:rsid w:val="153B8485"/>
    <w:rsid w:val="154DD1CF"/>
    <w:rsid w:val="15891E93"/>
    <w:rsid w:val="159FBF12"/>
    <w:rsid w:val="15A89B55"/>
    <w:rsid w:val="15A8C5C2"/>
    <w:rsid w:val="15A9548A"/>
    <w:rsid w:val="15BE1AE7"/>
    <w:rsid w:val="15E9DC15"/>
    <w:rsid w:val="16146F5F"/>
    <w:rsid w:val="161F428A"/>
    <w:rsid w:val="16BB714B"/>
    <w:rsid w:val="17311E78"/>
    <w:rsid w:val="17444D1B"/>
    <w:rsid w:val="17745EE7"/>
    <w:rsid w:val="178FC649"/>
    <w:rsid w:val="17E128E3"/>
    <w:rsid w:val="17EEF867"/>
    <w:rsid w:val="18318AA2"/>
    <w:rsid w:val="1841D05C"/>
    <w:rsid w:val="1867EC79"/>
    <w:rsid w:val="1884EC39"/>
    <w:rsid w:val="18A54767"/>
    <w:rsid w:val="18D138CF"/>
    <w:rsid w:val="18F5FEFF"/>
    <w:rsid w:val="18FB68A6"/>
    <w:rsid w:val="191BE70C"/>
    <w:rsid w:val="19443DBB"/>
    <w:rsid w:val="19804D77"/>
    <w:rsid w:val="19ABD8A5"/>
    <w:rsid w:val="19CE93CE"/>
    <w:rsid w:val="19FC3AED"/>
    <w:rsid w:val="1A2C005C"/>
    <w:rsid w:val="1A2E1B29"/>
    <w:rsid w:val="1AEBCA81"/>
    <w:rsid w:val="1B6F878A"/>
    <w:rsid w:val="1C427E82"/>
    <w:rsid w:val="1C4C5E99"/>
    <w:rsid w:val="1C4FBFA2"/>
    <w:rsid w:val="1C70F79D"/>
    <w:rsid w:val="1CD15B07"/>
    <w:rsid w:val="1CE7B4D6"/>
    <w:rsid w:val="1CFEBF61"/>
    <w:rsid w:val="1D00D2E7"/>
    <w:rsid w:val="1D24752A"/>
    <w:rsid w:val="1E4ACD03"/>
    <w:rsid w:val="1E93CC93"/>
    <w:rsid w:val="1E95F7AE"/>
    <w:rsid w:val="1ECDDD33"/>
    <w:rsid w:val="1EF8CAA5"/>
    <w:rsid w:val="1EFCDAE3"/>
    <w:rsid w:val="1F063207"/>
    <w:rsid w:val="1F0A11C6"/>
    <w:rsid w:val="1F214DAA"/>
    <w:rsid w:val="1F92275A"/>
    <w:rsid w:val="1F96E777"/>
    <w:rsid w:val="20061058"/>
    <w:rsid w:val="2010E21D"/>
    <w:rsid w:val="20AA13FB"/>
    <w:rsid w:val="20CBD6AA"/>
    <w:rsid w:val="210DB63B"/>
    <w:rsid w:val="21113E37"/>
    <w:rsid w:val="21477297"/>
    <w:rsid w:val="21531831"/>
    <w:rsid w:val="215FB760"/>
    <w:rsid w:val="21837BFF"/>
    <w:rsid w:val="219106B0"/>
    <w:rsid w:val="21AC58EA"/>
    <w:rsid w:val="21C1588A"/>
    <w:rsid w:val="21D64BB9"/>
    <w:rsid w:val="224F4FDE"/>
    <w:rsid w:val="22C17434"/>
    <w:rsid w:val="22D8F8CC"/>
    <w:rsid w:val="22E2AFDF"/>
    <w:rsid w:val="23244C7A"/>
    <w:rsid w:val="23854337"/>
    <w:rsid w:val="23EB5D8C"/>
    <w:rsid w:val="2412D30E"/>
    <w:rsid w:val="2455B25C"/>
    <w:rsid w:val="24671520"/>
    <w:rsid w:val="24713ED0"/>
    <w:rsid w:val="24C96549"/>
    <w:rsid w:val="24DD089E"/>
    <w:rsid w:val="25DF5074"/>
    <w:rsid w:val="2604A2B7"/>
    <w:rsid w:val="261E13D8"/>
    <w:rsid w:val="26C40770"/>
    <w:rsid w:val="26EC5324"/>
    <w:rsid w:val="270DA549"/>
    <w:rsid w:val="27210FB7"/>
    <w:rsid w:val="273E1B6A"/>
    <w:rsid w:val="27EF97FF"/>
    <w:rsid w:val="2805045E"/>
    <w:rsid w:val="2825085B"/>
    <w:rsid w:val="288027C3"/>
    <w:rsid w:val="2889A9C7"/>
    <w:rsid w:val="28B56E34"/>
    <w:rsid w:val="29423C69"/>
    <w:rsid w:val="296382E4"/>
    <w:rsid w:val="29A06118"/>
    <w:rsid w:val="29A6B7F5"/>
    <w:rsid w:val="29D2261B"/>
    <w:rsid w:val="2A13D592"/>
    <w:rsid w:val="2A16351C"/>
    <w:rsid w:val="2A1A566F"/>
    <w:rsid w:val="2A855825"/>
    <w:rsid w:val="2AA2364F"/>
    <w:rsid w:val="2AA6921F"/>
    <w:rsid w:val="2ABC5E0B"/>
    <w:rsid w:val="2B66437D"/>
    <w:rsid w:val="2BD964E5"/>
    <w:rsid w:val="2BEB4765"/>
    <w:rsid w:val="2C9772ED"/>
    <w:rsid w:val="2CD321C1"/>
    <w:rsid w:val="2D040260"/>
    <w:rsid w:val="2D6D5CA6"/>
    <w:rsid w:val="2D72D36C"/>
    <w:rsid w:val="2DEE2407"/>
    <w:rsid w:val="2DFF78C8"/>
    <w:rsid w:val="2E4DFAB2"/>
    <w:rsid w:val="2E722C9E"/>
    <w:rsid w:val="2E81282D"/>
    <w:rsid w:val="2ED4C89E"/>
    <w:rsid w:val="2EF6183E"/>
    <w:rsid w:val="2F1AF615"/>
    <w:rsid w:val="2F4FD154"/>
    <w:rsid w:val="2F549785"/>
    <w:rsid w:val="2F805CD8"/>
    <w:rsid w:val="2F8BD8F7"/>
    <w:rsid w:val="2FA3CBF8"/>
    <w:rsid w:val="2FA3F86F"/>
    <w:rsid w:val="2FBA3FD3"/>
    <w:rsid w:val="2FF3ADAB"/>
    <w:rsid w:val="2FF48B79"/>
    <w:rsid w:val="2FFF57E2"/>
    <w:rsid w:val="301EA3DF"/>
    <w:rsid w:val="307D4E6A"/>
    <w:rsid w:val="30E4EB3C"/>
    <w:rsid w:val="30F6F583"/>
    <w:rsid w:val="312983D6"/>
    <w:rsid w:val="31889569"/>
    <w:rsid w:val="31A659EB"/>
    <w:rsid w:val="31F44D75"/>
    <w:rsid w:val="3209A090"/>
    <w:rsid w:val="320C911C"/>
    <w:rsid w:val="324B904E"/>
    <w:rsid w:val="32691F3F"/>
    <w:rsid w:val="32BC9B6F"/>
    <w:rsid w:val="32E98BC2"/>
    <w:rsid w:val="330402D1"/>
    <w:rsid w:val="3308776E"/>
    <w:rsid w:val="3343BF23"/>
    <w:rsid w:val="3369B4A5"/>
    <w:rsid w:val="3381562F"/>
    <w:rsid w:val="33BAB695"/>
    <w:rsid w:val="342DC331"/>
    <w:rsid w:val="34766DA1"/>
    <w:rsid w:val="35236E73"/>
    <w:rsid w:val="359AACF7"/>
    <w:rsid w:val="35AF4376"/>
    <w:rsid w:val="35F285C4"/>
    <w:rsid w:val="36764A19"/>
    <w:rsid w:val="36B0E58D"/>
    <w:rsid w:val="36E953B6"/>
    <w:rsid w:val="36FB8F50"/>
    <w:rsid w:val="3786C6BB"/>
    <w:rsid w:val="379105C8"/>
    <w:rsid w:val="37D25D48"/>
    <w:rsid w:val="38B707C0"/>
    <w:rsid w:val="38CE6A0F"/>
    <w:rsid w:val="38D5F0EC"/>
    <w:rsid w:val="3902B6DB"/>
    <w:rsid w:val="3904FD0B"/>
    <w:rsid w:val="39145C9F"/>
    <w:rsid w:val="39D2505D"/>
    <w:rsid w:val="3A4907B0"/>
    <w:rsid w:val="3A6996D2"/>
    <w:rsid w:val="3A96C262"/>
    <w:rsid w:val="3AC0F560"/>
    <w:rsid w:val="3ADE3D72"/>
    <w:rsid w:val="3AF2E449"/>
    <w:rsid w:val="3B3B57F9"/>
    <w:rsid w:val="3B779172"/>
    <w:rsid w:val="3B9B3E56"/>
    <w:rsid w:val="3BACCB72"/>
    <w:rsid w:val="3C457E54"/>
    <w:rsid w:val="3D0E5AD2"/>
    <w:rsid w:val="3D7954B4"/>
    <w:rsid w:val="3D7BAEFD"/>
    <w:rsid w:val="3D83558E"/>
    <w:rsid w:val="3D86696E"/>
    <w:rsid w:val="3D994E4D"/>
    <w:rsid w:val="3D9D1983"/>
    <w:rsid w:val="3DBBC2F0"/>
    <w:rsid w:val="3DBC7B79"/>
    <w:rsid w:val="3DD22F53"/>
    <w:rsid w:val="3DF189D9"/>
    <w:rsid w:val="3DFCB1A9"/>
    <w:rsid w:val="3E1CEB2B"/>
    <w:rsid w:val="3E4D3F9A"/>
    <w:rsid w:val="3E7E5BE0"/>
    <w:rsid w:val="3EA496A2"/>
    <w:rsid w:val="3EE0C926"/>
    <w:rsid w:val="3EEDF074"/>
    <w:rsid w:val="3F0708CC"/>
    <w:rsid w:val="3F4360B0"/>
    <w:rsid w:val="3F4B1247"/>
    <w:rsid w:val="3F8FF048"/>
    <w:rsid w:val="3F9FD8A9"/>
    <w:rsid w:val="3FC18068"/>
    <w:rsid w:val="3FD0F566"/>
    <w:rsid w:val="3FF89F41"/>
    <w:rsid w:val="4087C16F"/>
    <w:rsid w:val="40A5B95D"/>
    <w:rsid w:val="40ADDE75"/>
    <w:rsid w:val="40CF5384"/>
    <w:rsid w:val="4115DAD2"/>
    <w:rsid w:val="415169E9"/>
    <w:rsid w:val="4179FEB4"/>
    <w:rsid w:val="417B8841"/>
    <w:rsid w:val="419BA2C1"/>
    <w:rsid w:val="41D21AAB"/>
    <w:rsid w:val="41E0ABB3"/>
    <w:rsid w:val="424F30EA"/>
    <w:rsid w:val="4275F841"/>
    <w:rsid w:val="42B26100"/>
    <w:rsid w:val="42C2579E"/>
    <w:rsid w:val="42C609C7"/>
    <w:rsid w:val="434F731A"/>
    <w:rsid w:val="435B6EA6"/>
    <w:rsid w:val="43A11E23"/>
    <w:rsid w:val="43CC833F"/>
    <w:rsid w:val="43DFE136"/>
    <w:rsid w:val="443DDB8F"/>
    <w:rsid w:val="44812FD9"/>
    <w:rsid w:val="448276C8"/>
    <w:rsid w:val="448C9141"/>
    <w:rsid w:val="44B382C9"/>
    <w:rsid w:val="44E18D05"/>
    <w:rsid w:val="450164D9"/>
    <w:rsid w:val="4526F74E"/>
    <w:rsid w:val="45630B85"/>
    <w:rsid w:val="45880678"/>
    <w:rsid w:val="45F9C71D"/>
    <w:rsid w:val="4604F889"/>
    <w:rsid w:val="465E9B9F"/>
    <w:rsid w:val="46836E30"/>
    <w:rsid w:val="46EF9AB2"/>
    <w:rsid w:val="474FA5A9"/>
    <w:rsid w:val="4799DF0C"/>
    <w:rsid w:val="48E4E3E6"/>
    <w:rsid w:val="48EA8943"/>
    <w:rsid w:val="49546D01"/>
    <w:rsid w:val="4954961B"/>
    <w:rsid w:val="4983FC4C"/>
    <w:rsid w:val="49E8C09A"/>
    <w:rsid w:val="4A68A0BF"/>
    <w:rsid w:val="4A74DAA8"/>
    <w:rsid w:val="4A90DDCA"/>
    <w:rsid w:val="4A9D38BB"/>
    <w:rsid w:val="4ACD1B31"/>
    <w:rsid w:val="4AD16FA5"/>
    <w:rsid w:val="4AEDABBE"/>
    <w:rsid w:val="4AEF5E91"/>
    <w:rsid w:val="4AF0547A"/>
    <w:rsid w:val="4AF74378"/>
    <w:rsid w:val="4B066AB2"/>
    <w:rsid w:val="4B227035"/>
    <w:rsid w:val="4B4A6067"/>
    <w:rsid w:val="4B9CD1AF"/>
    <w:rsid w:val="4BB16EA2"/>
    <w:rsid w:val="4C111110"/>
    <w:rsid w:val="4C454EBE"/>
    <w:rsid w:val="4C4A6AD9"/>
    <w:rsid w:val="4C51798E"/>
    <w:rsid w:val="4C7F54FC"/>
    <w:rsid w:val="4CA8CE52"/>
    <w:rsid w:val="4D4686A0"/>
    <w:rsid w:val="4D9F4D62"/>
    <w:rsid w:val="4DC8CBAE"/>
    <w:rsid w:val="4DEF14B0"/>
    <w:rsid w:val="4DF4014F"/>
    <w:rsid w:val="4E376661"/>
    <w:rsid w:val="4E666353"/>
    <w:rsid w:val="4EA64977"/>
    <w:rsid w:val="4EBD3818"/>
    <w:rsid w:val="4EF5E650"/>
    <w:rsid w:val="4F0E53C4"/>
    <w:rsid w:val="4F1FAC00"/>
    <w:rsid w:val="4F6ADF90"/>
    <w:rsid w:val="4F836939"/>
    <w:rsid w:val="4FFE869B"/>
    <w:rsid w:val="506BB593"/>
    <w:rsid w:val="50AEC410"/>
    <w:rsid w:val="50B1AFB3"/>
    <w:rsid w:val="50B43308"/>
    <w:rsid w:val="510D3559"/>
    <w:rsid w:val="51115FC9"/>
    <w:rsid w:val="5157339B"/>
    <w:rsid w:val="51AB50E7"/>
    <w:rsid w:val="5201271D"/>
    <w:rsid w:val="5239646B"/>
    <w:rsid w:val="528AF54F"/>
    <w:rsid w:val="52F32FD2"/>
    <w:rsid w:val="52F73B32"/>
    <w:rsid w:val="536942A9"/>
    <w:rsid w:val="53CAAF83"/>
    <w:rsid w:val="53D6424B"/>
    <w:rsid w:val="54F59B29"/>
    <w:rsid w:val="55151A7F"/>
    <w:rsid w:val="55260C8C"/>
    <w:rsid w:val="55338778"/>
    <w:rsid w:val="5554603E"/>
    <w:rsid w:val="55880250"/>
    <w:rsid w:val="5628FAD7"/>
    <w:rsid w:val="564590FC"/>
    <w:rsid w:val="56784570"/>
    <w:rsid w:val="56A7DE47"/>
    <w:rsid w:val="56E2893F"/>
    <w:rsid w:val="56EEBFC8"/>
    <w:rsid w:val="56F0021F"/>
    <w:rsid w:val="57AFF45A"/>
    <w:rsid w:val="57C4D209"/>
    <w:rsid w:val="581A847A"/>
    <w:rsid w:val="58421289"/>
    <w:rsid w:val="58E56B46"/>
    <w:rsid w:val="592685CF"/>
    <w:rsid w:val="595C783E"/>
    <w:rsid w:val="595E3FDB"/>
    <w:rsid w:val="595EECAB"/>
    <w:rsid w:val="597E38FC"/>
    <w:rsid w:val="59F8603A"/>
    <w:rsid w:val="5A364564"/>
    <w:rsid w:val="5AC9A386"/>
    <w:rsid w:val="5AFD4C46"/>
    <w:rsid w:val="5B130D1E"/>
    <w:rsid w:val="5B8A8E1C"/>
    <w:rsid w:val="5C13D1FE"/>
    <w:rsid w:val="5C3DFCDA"/>
    <w:rsid w:val="5C7A25FF"/>
    <w:rsid w:val="5CF2FB84"/>
    <w:rsid w:val="5CFD898D"/>
    <w:rsid w:val="5D0154E4"/>
    <w:rsid w:val="5D31DC7C"/>
    <w:rsid w:val="5D6DA75A"/>
    <w:rsid w:val="5D77BDCD"/>
    <w:rsid w:val="5DF0CD65"/>
    <w:rsid w:val="5DFE266C"/>
    <w:rsid w:val="5E21A466"/>
    <w:rsid w:val="5E3D93C3"/>
    <w:rsid w:val="5E786AE2"/>
    <w:rsid w:val="5E7D3BA2"/>
    <w:rsid w:val="5EE325DD"/>
    <w:rsid w:val="5F1EBBBE"/>
    <w:rsid w:val="5F5A16C6"/>
    <w:rsid w:val="5F6060F3"/>
    <w:rsid w:val="5F651CEB"/>
    <w:rsid w:val="5FA1B277"/>
    <w:rsid w:val="5FC92CDB"/>
    <w:rsid w:val="5FF3D040"/>
    <w:rsid w:val="6053F9C8"/>
    <w:rsid w:val="6124A840"/>
    <w:rsid w:val="61755536"/>
    <w:rsid w:val="617CD370"/>
    <w:rsid w:val="61D4A6E2"/>
    <w:rsid w:val="61EEC117"/>
    <w:rsid w:val="623343B3"/>
    <w:rsid w:val="6235BAB2"/>
    <w:rsid w:val="625E41CF"/>
    <w:rsid w:val="627F71DB"/>
    <w:rsid w:val="629BA41F"/>
    <w:rsid w:val="6306DF5E"/>
    <w:rsid w:val="633908E1"/>
    <w:rsid w:val="634032EB"/>
    <w:rsid w:val="634501D8"/>
    <w:rsid w:val="63516370"/>
    <w:rsid w:val="6352A97B"/>
    <w:rsid w:val="6355D580"/>
    <w:rsid w:val="6397B26B"/>
    <w:rsid w:val="63AC6C12"/>
    <w:rsid w:val="63F7586B"/>
    <w:rsid w:val="643721A6"/>
    <w:rsid w:val="646A6C8D"/>
    <w:rsid w:val="648CB43F"/>
    <w:rsid w:val="64935E0E"/>
    <w:rsid w:val="649754B2"/>
    <w:rsid w:val="64CDF18A"/>
    <w:rsid w:val="64D66B0B"/>
    <w:rsid w:val="650A7D86"/>
    <w:rsid w:val="6551773A"/>
    <w:rsid w:val="65957823"/>
    <w:rsid w:val="6648DC9C"/>
    <w:rsid w:val="66EC44CE"/>
    <w:rsid w:val="67311830"/>
    <w:rsid w:val="6771BD82"/>
    <w:rsid w:val="68017184"/>
    <w:rsid w:val="68300735"/>
    <w:rsid w:val="6837557C"/>
    <w:rsid w:val="6852F19E"/>
    <w:rsid w:val="68577720"/>
    <w:rsid w:val="68581551"/>
    <w:rsid w:val="685E28EC"/>
    <w:rsid w:val="68965867"/>
    <w:rsid w:val="68BC72CD"/>
    <w:rsid w:val="68E32F4D"/>
    <w:rsid w:val="69098994"/>
    <w:rsid w:val="691573CA"/>
    <w:rsid w:val="696E97AB"/>
    <w:rsid w:val="698606B3"/>
    <w:rsid w:val="6992FACC"/>
    <w:rsid w:val="69D57712"/>
    <w:rsid w:val="69DE7A35"/>
    <w:rsid w:val="6A11A1A0"/>
    <w:rsid w:val="6B4B0813"/>
    <w:rsid w:val="6B6F993B"/>
    <w:rsid w:val="6BA682F8"/>
    <w:rsid w:val="6C1F5486"/>
    <w:rsid w:val="6C88C483"/>
    <w:rsid w:val="6C9AC1DD"/>
    <w:rsid w:val="6D8C51E4"/>
    <w:rsid w:val="6DA8A45D"/>
    <w:rsid w:val="6DFD22F1"/>
    <w:rsid w:val="6E02AE92"/>
    <w:rsid w:val="6E8E8945"/>
    <w:rsid w:val="6E98AB96"/>
    <w:rsid w:val="6E9E8A02"/>
    <w:rsid w:val="6EAE45AA"/>
    <w:rsid w:val="6EC1ED1F"/>
    <w:rsid w:val="6EC662C5"/>
    <w:rsid w:val="6EE0EE6E"/>
    <w:rsid w:val="6EE5A50A"/>
    <w:rsid w:val="6EFD0ACF"/>
    <w:rsid w:val="6F52B4D6"/>
    <w:rsid w:val="6F74B8B3"/>
    <w:rsid w:val="6F7B8149"/>
    <w:rsid w:val="6F856551"/>
    <w:rsid w:val="6F8912DC"/>
    <w:rsid w:val="6F8EFE53"/>
    <w:rsid w:val="6FA76A22"/>
    <w:rsid w:val="705C00B4"/>
    <w:rsid w:val="7066BA5F"/>
    <w:rsid w:val="706C9836"/>
    <w:rsid w:val="707F69B7"/>
    <w:rsid w:val="70839004"/>
    <w:rsid w:val="708A3161"/>
    <w:rsid w:val="70B66337"/>
    <w:rsid w:val="70E01A1D"/>
    <w:rsid w:val="70FCA113"/>
    <w:rsid w:val="71074E5B"/>
    <w:rsid w:val="712F4D03"/>
    <w:rsid w:val="7165B76F"/>
    <w:rsid w:val="71732B66"/>
    <w:rsid w:val="720898D9"/>
    <w:rsid w:val="7279395E"/>
    <w:rsid w:val="7293143D"/>
    <w:rsid w:val="72E2C3B9"/>
    <w:rsid w:val="72FD6838"/>
    <w:rsid w:val="73072C4C"/>
    <w:rsid w:val="731A6CB0"/>
    <w:rsid w:val="7326737C"/>
    <w:rsid w:val="732FE04E"/>
    <w:rsid w:val="73724497"/>
    <w:rsid w:val="73885508"/>
    <w:rsid w:val="738FC1F4"/>
    <w:rsid w:val="73911105"/>
    <w:rsid w:val="73ADC2B9"/>
    <w:rsid w:val="73D09560"/>
    <w:rsid w:val="73D927DC"/>
    <w:rsid w:val="73E78EB7"/>
    <w:rsid w:val="73EDB64E"/>
    <w:rsid w:val="73F13103"/>
    <w:rsid w:val="73FC6260"/>
    <w:rsid w:val="740BC1E1"/>
    <w:rsid w:val="742A2AC7"/>
    <w:rsid w:val="747C345B"/>
    <w:rsid w:val="747E9538"/>
    <w:rsid w:val="7488F2F3"/>
    <w:rsid w:val="749ECFDC"/>
    <w:rsid w:val="74A6F1CF"/>
    <w:rsid w:val="74C9F284"/>
    <w:rsid w:val="7523DDDE"/>
    <w:rsid w:val="7579D0C0"/>
    <w:rsid w:val="7585CDB2"/>
    <w:rsid w:val="75B74514"/>
    <w:rsid w:val="75C66703"/>
    <w:rsid w:val="75EA3070"/>
    <w:rsid w:val="76B374D1"/>
    <w:rsid w:val="76E4B3B1"/>
    <w:rsid w:val="77AA9046"/>
    <w:rsid w:val="7823D802"/>
    <w:rsid w:val="786977CA"/>
    <w:rsid w:val="7876B28E"/>
    <w:rsid w:val="78895889"/>
    <w:rsid w:val="7893CD4A"/>
    <w:rsid w:val="78D087BF"/>
    <w:rsid w:val="78E655DD"/>
    <w:rsid w:val="79143DD4"/>
    <w:rsid w:val="793B20F7"/>
    <w:rsid w:val="7949036A"/>
    <w:rsid w:val="7979249B"/>
    <w:rsid w:val="797E4B44"/>
    <w:rsid w:val="798A1BD8"/>
    <w:rsid w:val="79CC7B44"/>
    <w:rsid w:val="79CE569E"/>
    <w:rsid w:val="7A33011D"/>
    <w:rsid w:val="7A787A3A"/>
    <w:rsid w:val="7AD6D298"/>
    <w:rsid w:val="7B14B3F6"/>
    <w:rsid w:val="7BB7AC9F"/>
    <w:rsid w:val="7BCD2561"/>
    <w:rsid w:val="7BE80403"/>
    <w:rsid w:val="7C80C426"/>
    <w:rsid w:val="7C9D3A7E"/>
    <w:rsid w:val="7CDB11CC"/>
    <w:rsid w:val="7CF35DFE"/>
    <w:rsid w:val="7D4396D1"/>
    <w:rsid w:val="7D6D43E6"/>
    <w:rsid w:val="7D7A94FD"/>
    <w:rsid w:val="7DA29E79"/>
    <w:rsid w:val="7DEA735F"/>
    <w:rsid w:val="7DFDFE37"/>
    <w:rsid w:val="7E7A7290"/>
    <w:rsid w:val="7E8AAA4E"/>
    <w:rsid w:val="7E908BC0"/>
    <w:rsid w:val="7F0BAD22"/>
    <w:rsid w:val="7F3AB33A"/>
    <w:rsid w:val="7F490DE3"/>
    <w:rsid w:val="7F5E0240"/>
    <w:rsid w:val="7F95716D"/>
    <w:rsid w:val="7F96E510"/>
    <w:rsid w:val="7FC9BD4F"/>
    <w:rsid w:val="7FE30CC9"/>
    <w:rsid w:val="7FF90BD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C57D1"/>
  <w15:chartTrackingRefBased/>
  <w15:docId w15:val="{C39C4B59-030B-4592-9843-886C018FA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rsid w:val="00FD6A3F"/>
    <w:rPr>
      <w:color w:val="0563C1" w:themeColor="hyperlink"/>
      <w:u w:val="single"/>
    </w:rPr>
  </w:style>
  <w:style w:type="character" w:customStyle="1" w:styleId="Nierozpoznanawzmianka1">
    <w:name w:val="Nierozpoznana wzmianka1"/>
    <w:basedOn w:val="Domylnaczcionkaakapitu"/>
    <w:uiPriority w:val="99"/>
    <w:semiHidden/>
    <w:unhideWhenUsed/>
    <w:rsid w:val="00FD6A3F"/>
    <w:rPr>
      <w:color w:val="605E5C"/>
      <w:shd w:val="clear" w:color="auto" w:fill="E1DFDD"/>
    </w:rPr>
  </w:style>
  <w:style w:type="paragraph" w:styleId="Akapitzlist">
    <w:name w:val="List Paragraph"/>
    <w:aliases w:val="Numerowanie"/>
    <w:basedOn w:val="Normalny"/>
    <w:link w:val="AkapitzlistZnak"/>
    <w:uiPriority w:val="34"/>
    <w:qFormat/>
    <w:rsid w:val="009F5AF3"/>
    <w:pPr>
      <w:ind w:left="720"/>
      <w:contextualSpacing/>
    </w:pPr>
  </w:style>
  <w:style w:type="paragraph" w:styleId="Poprawka">
    <w:name w:val="Revision"/>
    <w:hidden/>
    <w:uiPriority w:val="99"/>
    <w:semiHidden/>
    <w:rsid w:val="000073D7"/>
    <w:rPr>
      <w:sz w:val="24"/>
      <w:szCs w:val="24"/>
    </w:rPr>
  </w:style>
  <w:style w:type="paragraph" w:styleId="Nagwek">
    <w:name w:val="header"/>
    <w:basedOn w:val="Normalny"/>
    <w:link w:val="NagwekZnak"/>
    <w:rsid w:val="00C33B69"/>
    <w:pPr>
      <w:tabs>
        <w:tab w:val="center" w:pos="4680"/>
        <w:tab w:val="right" w:pos="9360"/>
      </w:tabs>
    </w:pPr>
  </w:style>
  <w:style w:type="character" w:customStyle="1" w:styleId="NagwekZnak">
    <w:name w:val="Nagłówek Znak"/>
    <w:basedOn w:val="Domylnaczcionkaakapitu"/>
    <w:link w:val="Nagwek"/>
    <w:rsid w:val="00910D6A"/>
    <w:rPr>
      <w:sz w:val="24"/>
      <w:szCs w:val="24"/>
    </w:rPr>
  </w:style>
  <w:style w:type="paragraph" w:styleId="Stopka">
    <w:name w:val="footer"/>
    <w:basedOn w:val="Normalny"/>
    <w:link w:val="StopkaZnak"/>
    <w:rsid w:val="00C33B69"/>
    <w:pPr>
      <w:tabs>
        <w:tab w:val="center" w:pos="4680"/>
        <w:tab w:val="right" w:pos="9360"/>
      </w:tabs>
    </w:pPr>
  </w:style>
  <w:style w:type="character" w:customStyle="1" w:styleId="StopkaZnak">
    <w:name w:val="Stopka Znak"/>
    <w:basedOn w:val="Domylnaczcionkaakapitu"/>
    <w:link w:val="Stopka"/>
    <w:rsid w:val="00910D6A"/>
    <w:rPr>
      <w:sz w:val="24"/>
      <w:szCs w:val="24"/>
    </w:rPr>
  </w:style>
  <w:style w:type="paragraph" w:customStyle="1" w:styleId="ZUSTzmustartykuempunktem">
    <w:name w:val="Z/UST(§) – zm. ust. (§) artykułem (punktem)"/>
    <w:basedOn w:val="Normalny"/>
    <w:uiPriority w:val="30"/>
    <w:qFormat/>
    <w:rsid w:val="00910D6A"/>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styleId="Tekstprzypisukocowego">
    <w:name w:val="endnote text"/>
    <w:basedOn w:val="Normalny"/>
    <w:link w:val="TekstprzypisukocowegoZnak"/>
    <w:rsid w:val="00910D6A"/>
    <w:rPr>
      <w:sz w:val="20"/>
      <w:szCs w:val="20"/>
    </w:rPr>
  </w:style>
  <w:style w:type="character" w:customStyle="1" w:styleId="TekstprzypisukocowegoZnak">
    <w:name w:val="Tekst przypisu końcowego Znak"/>
    <w:basedOn w:val="Domylnaczcionkaakapitu"/>
    <w:link w:val="Tekstprzypisukocowego"/>
    <w:rsid w:val="00910D6A"/>
  </w:style>
  <w:style w:type="character" w:styleId="Odwoanieprzypisukocowego">
    <w:name w:val="endnote reference"/>
    <w:basedOn w:val="Domylnaczcionkaakapitu"/>
    <w:rsid w:val="00910D6A"/>
    <w:rPr>
      <w:vertAlign w:val="superscript"/>
    </w:rPr>
  </w:style>
  <w:style w:type="character" w:styleId="Odwoaniedokomentarza">
    <w:name w:val="annotation reference"/>
    <w:uiPriority w:val="99"/>
    <w:rsid w:val="00910D6A"/>
    <w:rPr>
      <w:sz w:val="16"/>
      <w:szCs w:val="16"/>
    </w:rPr>
  </w:style>
  <w:style w:type="paragraph" w:styleId="Tekstkomentarza">
    <w:name w:val="annotation text"/>
    <w:basedOn w:val="Normalny"/>
    <w:link w:val="TekstkomentarzaZnak"/>
    <w:uiPriority w:val="99"/>
    <w:qFormat/>
    <w:rsid w:val="00910D6A"/>
    <w:pPr>
      <w:widowControl w:val="0"/>
      <w:autoSpaceDE w:val="0"/>
      <w:autoSpaceDN w:val="0"/>
      <w:adjustRightInd w:val="0"/>
      <w:spacing w:line="360" w:lineRule="auto"/>
    </w:pPr>
    <w:rPr>
      <w:rFonts w:ascii="Times" w:hAnsi="Times"/>
    </w:rPr>
  </w:style>
  <w:style w:type="character" w:customStyle="1" w:styleId="TekstkomentarzaZnak">
    <w:name w:val="Tekst komentarza Znak"/>
    <w:basedOn w:val="Domylnaczcionkaakapitu"/>
    <w:link w:val="Tekstkomentarza"/>
    <w:uiPriority w:val="99"/>
    <w:rsid w:val="00910D6A"/>
    <w:rPr>
      <w:rFonts w:ascii="Times" w:hAnsi="Times"/>
      <w:sz w:val="24"/>
      <w:szCs w:val="24"/>
    </w:rPr>
  </w:style>
  <w:style w:type="character" w:customStyle="1" w:styleId="AkapitzlistZnak">
    <w:name w:val="Akapit z listą Znak"/>
    <w:aliases w:val="Numerowanie Znak"/>
    <w:link w:val="Akapitzlist"/>
    <w:uiPriority w:val="34"/>
    <w:locked/>
    <w:rsid w:val="00486697"/>
    <w:rPr>
      <w:sz w:val="24"/>
      <w:szCs w:val="24"/>
    </w:rPr>
  </w:style>
  <w:style w:type="paragraph" w:styleId="Tematkomentarza">
    <w:name w:val="annotation subject"/>
    <w:basedOn w:val="Tekstkomentarza"/>
    <w:next w:val="Tekstkomentarza"/>
    <w:link w:val="TematkomentarzaZnak"/>
    <w:rsid w:val="00F21B6B"/>
    <w:pPr>
      <w:widowControl/>
      <w:autoSpaceDE/>
      <w:autoSpaceDN/>
      <w:adjustRightInd/>
      <w:spacing w:line="240" w:lineRule="auto"/>
    </w:pPr>
    <w:rPr>
      <w:rFonts w:ascii="Times New Roman" w:hAnsi="Times New Roman"/>
      <w:b/>
      <w:bCs/>
      <w:sz w:val="20"/>
      <w:szCs w:val="20"/>
    </w:rPr>
  </w:style>
  <w:style w:type="character" w:customStyle="1" w:styleId="TematkomentarzaZnak">
    <w:name w:val="Temat komentarza Znak"/>
    <w:basedOn w:val="TekstkomentarzaZnak"/>
    <w:link w:val="Tematkomentarza"/>
    <w:rsid w:val="00F21B6B"/>
    <w:rPr>
      <w:rFonts w:ascii="Times" w:hAnsi="Times"/>
      <w:b/>
      <w:bCs/>
      <w:sz w:val="24"/>
      <w:szCs w:val="24"/>
    </w:rPr>
  </w:style>
  <w:style w:type="paragraph" w:customStyle="1" w:styleId="ZARTzmartartykuempunktem">
    <w:name w:val="Z/ART(§) – zm. art. (§) artykułem (punktem)"/>
    <w:basedOn w:val="Normalny"/>
    <w:uiPriority w:val="30"/>
    <w:qFormat/>
    <w:rsid w:val="0043167E"/>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customStyle="1" w:styleId="PKTpunkt">
    <w:name w:val="PKT – punkt"/>
    <w:link w:val="PKTpunktZnak"/>
    <w:uiPriority w:val="13"/>
    <w:qFormat/>
    <w:rsid w:val="0043167E"/>
    <w:pPr>
      <w:spacing w:line="360" w:lineRule="auto"/>
      <w:ind w:left="510" w:hanging="510"/>
      <w:jc w:val="both"/>
    </w:pPr>
    <w:rPr>
      <w:rFonts w:ascii="Times" w:eastAsiaTheme="minorEastAsia" w:hAnsi="Times" w:cs="Arial"/>
      <w:bCs/>
      <w:sz w:val="24"/>
    </w:rPr>
  </w:style>
  <w:style w:type="paragraph" w:customStyle="1" w:styleId="LITlitera">
    <w:name w:val="LIT – litera"/>
    <w:basedOn w:val="PKTpunkt"/>
    <w:uiPriority w:val="14"/>
    <w:qFormat/>
    <w:rsid w:val="0043167E"/>
    <w:pPr>
      <w:ind w:left="986" w:hanging="476"/>
    </w:pPr>
  </w:style>
  <w:style w:type="paragraph" w:customStyle="1" w:styleId="ZLITUSTzmustliter">
    <w:name w:val="Z_LIT/UST(§) – zm. ust. (§) literą"/>
    <w:basedOn w:val="Normalny"/>
    <w:uiPriority w:val="46"/>
    <w:qFormat/>
    <w:rsid w:val="0043167E"/>
    <w:pPr>
      <w:suppressAutoHyphens/>
      <w:autoSpaceDE w:val="0"/>
      <w:autoSpaceDN w:val="0"/>
      <w:adjustRightInd w:val="0"/>
      <w:spacing w:line="360" w:lineRule="auto"/>
      <w:ind w:left="987" w:firstLine="510"/>
      <w:jc w:val="both"/>
    </w:pPr>
    <w:rPr>
      <w:rFonts w:ascii="Times" w:eastAsiaTheme="minorEastAsia" w:hAnsi="Times" w:cs="Arial"/>
      <w:bCs/>
      <w:szCs w:val="20"/>
    </w:rPr>
  </w:style>
  <w:style w:type="character" w:customStyle="1" w:styleId="PKTpunktZnak">
    <w:name w:val="PKT – punkt Znak"/>
    <w:basedOn w:val="Domylnaczcionkaakapitu"/>
    <w:link w:val="PKTpunkt"/>
    <w:uiPriority w:val="13"/>
    <w:locked/>
    <w:rsid w:val="0043167E"/>
    <w:rPr>
      <w:rFonts w:ascii="Times" w:eastAsiaTheme="minorEastAsia" w:hAnsi="Times" w:cs="Arial"/>
      <w:bCs/>
      <w:sz w:val="24"/>
    </w:rPr>
  </w:style>
  <w:style w:type="paragraph" w:customStyle="1" w:styleId="ZPKTzmpktartykuempunktem">
    <w:name w:val="Z/PKT – zm. pkt artykułem (punktem)"/>
    <w:basedOn w:val="PKTpunkt"/>
    <w:uiPriority w:val="31"/>
    <w:qFormat/>
    <w:rsid w:val="0043167E"/>
    <w:pPr>
      <w:ind w:left="1020"/>
    </w:pPr>
  </w:style>
  <w:style w:type="paragraph" w:customStyle="1" w:styleId="ZLITPKTzmpktliter">
    <w:name w:val="Z_LIT/PKT – zm. pkt literą"/>
    <w:basedOn w:val="PKTpunkt"/>
    <w:uiPriority w:val="47"/>
    <w:qFormat/>
    <w:rsid w:val="0043167E"/>
    <w:pPr>
      <w:ind w:left="1497"/>
    </w:pPr>
  </w:style>
  <w:style w:type="paragraph" w:customStyle="1" w:styleId="ZCZWSPTIRwPKTzmczciwsptirwpktartykuempunktem">
    <w:name w:val="Z/CZ_WSP_TIR_w_PKT – zm. części wsp. tir. w pkt artykułem (punktem)"/>
    <w:basedOn w:val="Normalny"/>
    <w:next w:val="ZPKTzmpktartykuempunktem"/>
    <w:uiPriority w:val="36"/>
    <w:qFormat/>
    <w:rsid w:val="00B555C6"/>
    <w:pPr>
      <w:spacing w:line="360" w:lineRule="auto"/>
      <w:ind w:left="1497"/>
      <w:jc w:val="both"/>
    </w:pPr>
    <w:rPr>
      <w:rFonts w:ascii="Times" w:eastAsiaTheme="minorEastAsia" w:hAnsi="Times" w:cs="Arial"/>
      <w:bCs/>
      <w:szCs w:val="20"/>
    </w:rPr>
  </w:style>
  <w:style w:type="paragraph" w:customStyle="1" w:styleId="NIEARTTEKSTtekstnieartykuowanynppodstprawnarozplubpreambua">
    <w:name w:val="NIEART_TEKST – tekst nieartykułowany (np. podst. prawna rozp. lub preambuła)"/>
    <w:basedOn w:val="Normalny"/>
    <w:next w:val="Normalny"/>
    <w:uiPriority w:val="7"/>
    <w:qFormat/>
    <w:rsid w:val="00B555C6"/>
    <w:pPr>
      <w:suppressAutoHyphens/>
      <w:autoSpaceDE w:val="0"/>
      <w:autoSpaceDN w:val="0"/>
      <w:adjustRightInd w:val="0"/>
      <w:spacing w:before="120" w:line="360" w:lineRule="auto"/>
      <w:ind w:firstLine="510"/>
      <w:jc w:val="both"/>
    </w:pPr>
    <w:rPr>
      <w:rFonts w:ascii="Times" w:eastAsiaTheme="minorEastAsia" w:hAnsi="Times" w:cs="Arial"/>
      <w:bCs/>
      <w:szCs w:val="20"/>
    </w:rPr>
  </w:style>
  <w:style w:type="character" w:styleId="UyteHipercze">
    <w:name w:val="FollowedHyperlink"/>
    <w:basedOn w:val="Domylnaczcionkaakapitu"/>
    <w:rsid w:val="00187F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1164">
      <w:bodyDiv w:val="1"/>
      <w:marLeft w:val="0"/>
      <w:marRight w:val="0"/>
      <w:marTop w:val="0"/>
      <w:marBottom w:val="0"/>
      <w:divBdr>
        <w:top w:val="none" w:sz="0" w:space="0" w:color="auto"/>
        <w:left w:val="none" w:sz="0" w:space="0" w:color="auto"/>
        <w:bottom w:val="none" w:sz="0" w:space="0" w:color="auto"/>
        <w:right w:val="none" w:sz="0" w:space="0" w:color="auto"/>
      </w:divBdr>
    </w:div>
    <w:div w:id="227037015">
      <w:bodyDiv w:val="1"/>
      <w:marLeft w:val="0"/>
      <w:marRight w:val="0"/>
      <w:marTop w:val="0"/>
      <w:marBottom w:val="0"/>
      <w:divBdr>
        <w:top w:val="none" w:sz="0" w:space="0" w:color="auto"/>
        <w:left w:val="none" w:sz="0" w:space="0" w:color="auto"/>
        <w:bottom w:val="none" w:sz="0" w:space="0" w:color="auto"/>
        <w:right w:val="none" w:sz="0" w:space="0" w:color="auto"/>
      </w:divBdr>
    </w:div>
    <w:div w:id="306670001">
      <w:bodyDiv w:val="1"/>
      <w:marLeft w:val="0"/>
      <w:marRight w:val="0"/>
      <w:marTop w:val="0"/>
      <w:marBottom w:val="0"/>
      <w:divBdr>
        <w:top w:val="none" w:sz="0" w:space="0" w:color="auto"/>
        <w:left w:val="none" w:sz="0" w:space="0" w:color="auto"/>
        <w:bottom w:val="none" w:sz="0" w:space="0" w:color="auto"/>
        <w:right w:val="none" w:sz="0" w:space="0" w:color="auto"/>
      </w:divBdr>
    </w:div>
    <w:div w:id="395202864">
      <w:bodyDiv w:val="1"/>
      <w:marLeft w:val="0"/>
      <w:marRight w:val="0"/>
      <w:marTop w:val="0"/>
      <w:marBottom w:val="0"/>
      <w:divBdr>
        <w:top w:val="none" w:sz="0" w:space="0" w:color="auto"/>
        <w:left w:val="none" w:sz="0" w:space="0" w:color="auto"/>
        <w:bottom w:val="none" w:sz="0" w:space="0" w:color="auto"/>
        <w:right w:val="none" w:sz="0" w:space="0" w:color="auto"/>
      </w:divBdr>
    </w:div>
    <w:div w:id="677536438">
      <w:bodyDiv w:val="1"/>
      <w:marLeft w:val="0"/>
      <w:marRight w:val="0"/>
      <w:marTop w:val="0"/>
      <w:marBottom w:val="0"/>
      <w:divBdr>
        <w:top w:val="none" w:sz="0" w:space="0" w:color="auto"/>
        <w:left w:val="none" w:sz="0" w:space="0" w:color="auto"/>
        <w:bottom w:val="none" w:sz="0" w:space="0" w:color="auto"/>
        <w:right w:val="none" w:sz="0" w:space="0" w:color="auto"/>
      </w:divBdr>
    </w:div>
    <w:div w:id="765537066">
      <w:bodyDiv w:val="1"/>
      <w:marLeft w:val="0"/>
      <w:marRight w:val="0"/>
      <w:marTop w:val="0"/>
      <w:marBottom w:val="0"/>
      <w:divBdr>
        <w:top w:val="none" w:sz="0" w:space="0" w:color="auto"/>
        <w:left w:val="none" w:sz="0" w:space="0" w:color="auto"/>
        <w:bottom w:val="none" w:sz="0" w:space="0" w:color="auto"/>
        <w:right w:val="none" w:sz="0" w:space="0" w:color="auto"/>
      </w:divBdr>
    </w:div>
    <w:div w:id="948777011">
      <w:bodyDiv w:val="1"/>
      <w:marLeft w:val="0"/>
      <w:marRight w:val="0"/>
      <w:marTop w:val="0"/>
      <w:marBottom w:val="0"/>
      <w:divBdr>
        <w:top w:val="none" w:sz="0" w:space="0" w:color="auto"/>
        <w:left w:val="none" w:sz="0" w:space="0" w:color="auto"/>
        <w:bottom w:val="none" w:sz="0" w:space="0" w:color="auto"/>
        <w:right w:val="none" w:sz="0" w:space="0" w:color="auto"/>
      </w:divBdr>
    </w:div>
    <w:div w:id="1622808194">
      <w:bodyDiv w:val="1"/>
      <w:marLeft w:val="0"/>
      <w:marRight w:val="0"/>
      <w:marTop w:val="0"/>
      <w:marBottom w:val="0"/>
      <w:divBdr>
        <w:top w:val="none" w:sz="0" w:space="0" w:color="auto"/>
        <w:left w:val="none" w:sz="0" w:space="0" w:color="auto"/>
        <w:bottom w:val="none" w:sz="0" w:space="0" w:color="auto"/>
        <w:right w:val="none" w:sz="0" w:space="0" w:color="auto"/>
      </w:divBdr>
    </w:div>
    <w:div w:id="1873805472">
      <w:bodyDiv w:val="1"/>
      <w:marLeft w:val="0"/>
      <w:marRight w:val="0"/>
      <w:marTop w:val="0"/>
      <w:marBottom w:val="0"/>
      <w:divBdr>
        <w:top w:val="none" w:sz="0" w:space="0" w:color="auto"/>
        <w:left w:val="none" w:sz="0" w:space="0" w:color="auto"/>
        <w:bottom w:val="none" w:sz="0" w:space="0" w:color="auto"/>
        <w:right w:val="none" w:sz="0" w:space="0" w:color="auto"/>
      </w:divBdr>
    </w:div>
    <w:div w:id="2009823639">
      <w:bodyDiv w:val="1"/>
      <w:marLeft w:val="0"/>
      <w:marRight w:val="0"/>
      <w:marTop w:val="0"/>
      <w:marBottom w:val="0"/>
      <w:divBdr>
        <w:top w:val="none" w:sz="0" w:space="0" w:color="auto"/>
        <w:left w:val="none" w:sz="0" w:space="0" w:color="auto"/>
        <w:bottom w:val="none" w:sz="0" w:space="0" w:color="auto"/>
        <w:right w:val="none" w:sz="0" w:space="0" w:color="auto"/>
      </w:divBdr>
    </w:div>
    <w:div w:id="2047636469">
      <w:bodyDiv w:val="1"/>
      <w:marLeft w:val="0"/>
      <w:marRight w:val="0"/>
      <w:marTop w:val="0"/>
      <w:marBottom w:val="0"/>
      <w:divBdr>
        <w:top w:val="none" w:sz="0" w:space="0" w:color="auto"/>
        <w:left w:val="none" w:sz="0" w:space="0" w:color="auto"/>
        <w:bottom w:val="none" w:sz="0" w:space="0" w:color="auto"/>
        <w:right w:val="none" w:sz="0" w:space="0" w:color="auto"/>
      </w:divBdr>
    </w:div>
    <w:div w:id="212927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a.gov.pl/store/apis/lis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ane.gov.pl/pl/knowledgebase/useful-materials/api-partnerow-w-otwarte-dane-plu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28E6B-F1D9-4460-83F7-2AC9D66E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2106</Words>
  <Characters>14414</Characters>
  <Application>Microsoft Office Word</Application>
  <DocSecurity>0</DocSecurity>
  <Lines>120</Lines>
  <Paragraphs>32</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Marta Ścisło</cp:lastModifiedBy>
  <cp:revision>6</cp:revision>
  <dcterms:created xsi:type="dcterms:W3CDTF">2024-12-09T11:04:00Z</dcterms:created>
  <dcterms:modified xsi:type="dcterms:W3CDTF">2024-12-09T13:22:00Z</dcterms:modified>
</cp:coreProperties>
</file>